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47" w:rsidRDefault="00132247" w:rsidP="00132247">
      <w:pPr>
        <w:pStyle w:val="Nadpis4"/>
        <w:numPr>
          <w:ilvl w:val="3"/>
          <w:numId w:val="2"/>
        </w:numPr>
      </w:pPr>
      <w:bookmarkStart w:id="0" w:name="_Toc100498110"/>
      <w:r>
        <w:t>Podkôrny a drevokazný hmyz</w:t>
      </w:r>
      <w:bookmarkEnd w:id="0"/>
      <w:r>
        <w:t xml:space="preserve"> (Ing. J. Vakula, PhD., Ing. J. Galko, PhD., Ing. A. Gubka, PhD.) </w:t>
      </w:r>
    </w:p>
    <w:p w:rsidR="00132247" w:rsidRDefault="00132247" w:rsidP="00132247">
      <w:pPr>
        <w:spacing w:before="0"/>
        <w:rPr>
          <w:bCs/>
          <w:spacing w:val="20"/>
          <w:sz w:val="22"/>
        </w:rPr>
      </w:pPr>
    </w:p>
    <w:p w:rsidR="00132247" w:rsidRDefault="00132247" w:rsidP="00132247">
      <w:pPr>
        <w:ind w:firstLine="432"/>
        <w:jc w:val="both"/>
      </w:pPr>
      <w:r>
        <w:t xml:space="preserve">Situácia s podkôrnym hmyzom sa v roku 2012 na Slovensku opäť nezlepšila, možno ju porovnať s rokom 2011. Tento stav možno pripísať vysokému objemu nespracovanej naletenej hmoty z roku 2011, ktorá prešla do roku 2012 a nepriaznivému vplyvu počasia vo vegetačnej sezóne, najmä extrémnemu suchu. </w:t>
      </w:r>
    </w:p>
    <w:p w:rsidR="00132247" w:rsidRDefault="00132247" w:rsidP="00132247">
      <w:pPr>
        <w:ind w:firstLine="432"/>
        <w:jc w:val="both"/>
      </w:pPr>
      <w:r>
        <w:t xml:space="preserve">Najviac poškodzovanou drevinou podkôrnym hmyzom bol v roku 2012 opäť </w:t>
      </w:r>
      <w:r>
        <w:rPr>
          <w:b/>
        </w:rPr>
        <w:t>smrek</w:t>
      </w:r>
      <w:r>
        <w:t xml:space="preserve">, ktorého odumieranie spôsobil v najväčšej miere </w:t>
      </w:r>
      <w:r>
        <w:rPr>
          <w:b/>
        </w:rPr>
        <w:t>lykožrút smrekový</w:t>
      </w:r>
      <w:r>
        <w:t>, ktorý zostal naďalej najvýznamnejším škodlivým činiteľom na Slovensku. Tento stav je odrazom vývoja kalamít podkôrneho hmyzu predchádzajúcich rokov, no najmä veľkého objemu nespracovaného naleteného dreva, ktoré prešlo z roku 2011 do roku 2012 (takmer 600 tis. m</w:t>
      </w:r>
      <w:r>
        <w:rPr>
          <w:vertAlign w:val="superscript"/>
        </w:rPr>
        <w:t>3</w:t>
      </w:r>
      <w:r>
        <w:t>). Situácia je neporovnateľne horšia ako v Čechách alebo Poľsku, aj keď podmienky na pestovanie smreka sú u nás najlepšie.</w:t>
      </w:r>
    </w:p>
    <w:p w:rsidR="00132247" w:rsidRDefault="00132247" w:rsidP="00132247">
      <w:pPr>
        <w:ind w:firstLine="432"/>
        <w:jc w:val="both"/>
      </w:pPr>
      <w:r>
        <w:t xml:space="preserve">Jarné rojenie začalo na strednom Slovensku v polovici apríla, ktorý bol teplotne nadnormálny mesiacom. V závere mesiaca boli prekonané viaceré teplotné rekordy. Rojenie vrcholilo koncom mája, ktorý bol teplotne nadnormálnym až silne nadnormálnym mesiacom. Letné rojenie začalo koncom júna, ktorý bol taktiež teplotne nadnormálnym až silne nadnormálnym mesiacom a vrcholilo v prvej polovici júla. Júl bol teplotne silne nadnormálnym až mimoriadne nadnormálnym mesiacom. Rok 2012 bol teda pre podkôrny hmyz veľmi priaznivým rokom. Kombinácia extrémneho sucha a extrémnych teplôt vo vegetačnom období zapríčinila výrazné oslabenie porastov s následnou </w:t>
      </w:r>
      <w:proofErr w:type="spellStart"/>
      <w:r>
        <w:t>predispozíciou</w:t>
      </w:r>
      <w:proofErr w:type="spellEnd"/>
      <w:r>
        <w:t xml:space="preserve"> na napadnutie podkôrnym hmyzom. Tento fakt sa prejavil nielen v smrekových porastoch ale aj v borovicových porastoch, najmä na Záhorí. </w:t>
      </w:r>
    </w:p>
    <w:p w:rsidR="00132247" w:rsidRDefault="00132247" w:rsidP="00132247">
      <w:pPr>
        <w:ind w:firstLine="432"/>
        <w:jc w:val="both"/>
      </w:pPr>
    </w:p>
    <w:p w:rsidR="00132247" w:rsidRDefault="00132247" w:rsidP="00132247">
      <w:pPr>
        <w:jc w:val="center"/>
      </w:pPr>
      <w:r>
        <w:rPr>
          <w:noProof/>
        </w:rPr>
        <w:drawing>
          <wp:inline distT="0" distB="0" distL="0" distR="0">
            <wp:extent cx="2819400" cy="1981200"/>
            <wp:effectExtent l="0" t="0" r="0" b="0"/>
            <wp:docPr id="94" name="Graf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t xml:space="preserve"> </w:t>
      </w:r>
      <w:r>
        <w:rPr>
          <w:noProof/>
        </w:rPr>
        <w:drawing>
          <wp:inline distT="0" distB="0" distL="0" distR="0">
            <wp:extent cx="2867025" cy="1981200"/>
            <wp:effectExtent l="0" t="0" r="0" b="0"/>
            <wp:docPr id="95" name="Graf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32247" w:rsidRDefault="00132247" w:rsidP="00132247">
      <w:pPr>
        <w:jc w:val="center"/>
      </w:pPr>
    </w:p>
    <w:p w:rsidR="00132247" w:rsidRDefault="00132247" w:rsidP="00132247">
      <w:pPr>
        <w:pStyle w:val="Popis"/>
        <w:jc w:val="center"/>
      </w:pPr>
      <w:r>
        <w:t xml:space="preserve">Obrázok </w:t>
      </w:r>
      <w:r>
        <w:fldChar w:fldCharType="begin"/>
      </w:r>
      <w:r>
        <w:instrText xml:space="preserve"> SEQ Obrázok \* ARABIC </w:instrText>
      </w:r>
      <w:r>
        <w:fldChar w:fldCharType="separate"/>
      </w:r>
      <w:r>
        <w:rPr>
          <w:noProof/>
        </w:rPr>
        <w:t>14</w:t>
      </w:r>
      <w:r>
        <w:rPr>
          <w:noProof/>
        </w:rPr>
        <w:fldChar w:fldCharType="end"/>
      </w:r>
      <w:r>
        <w:t>. Priebeh rojenia lykožrúta smrekového v okrese Čadca v roku 2012</w:t>
      </w:r>
    </w:p>
    <w:p w:rsidR="00132247" w:rsidRDefault="00132247" w:rsidP="00132247">
      <w:pPr>
        <w:pStyle w:val="Popis"/>
        <w:jc w:val="center"/>
      </w:pPr>
      <w:r>
        <w:t xml:space="preserve">Obrázok </w:t>
      </w:r>
      <w:r>
        <w:fldChar w:fldCharType="begin"/>
      </w:r>
      <w:r>
        <w:instrText xml:space="preserve"> SEQ Obrázok \* ARABIC </w:instrText>
      </w:r>
      <w:r>
        <w:fldChar w:fldCharType="separate"/>
      </w:r>
      <w:r>
        <w:rPr>
          <w:noProof/>
        </w:rPr>
        <w:t>15</w:t>
      </w:r>
      <w:r>
        <w:rPr>
          <w:noProof/>
        </w:rPr>
        <w:fldChar w:fldCharType="end"/>
      </w:r>
      <w:r>
        <w:t>. Priebeh rojenia lykožrúta lesklého v okrese Čadca v roku 2012</w:t>
      </w:r>
    </w:p>
    <w:p w:rsidR="00132247" w:rsidRDefault="00132247" w:rsidP="00132247">
      <w:pPr>
        <w:spacing w:before="0"/>
        <w:rPr>
          <w:bCs/>
          <w:spacing w:val="20"/>
          <w:sz w:val="22"/>
        </w:rPr>
      </w:pPr>
    </w:p>
    <w:p w:rsidR="00132247" w:rsidRDefault="00132247" w:rsidP="00132247">
      <w:pPr>
        <w:pStyle w:val="Popis"/>
      </w:pPr>
      <w:r>
        <w:t xml:space="preserve">Tabuľka </w:t>
      </w:r>
      <w:r>
        <w:fldChar w:fldCharType="begin"/>
      </w:r>
      <w:r>
        <w:instrText xml:space="preserve"> SEQ Tabuľka \* ARABIC </w:instrText>
      </w:r>
      <w:r>
        <w:fldChar w:fldCharType="separate"/>
      </w:r>
      <w:r>
        <w:rPr>
          <w:noProof/>
        </w:rPr>
        <w:t>5</w:t>
      </w:r>
      <w:r>
        <w:rPr>
          <w:noProof/>
        </w:rPr>
        <w:fldChar w:fldCharType="end"/>
      </w:r>
      <w:r>
        <w:t>. Štruktúra náhodných ťažieb spôsobených podkôrnym a drevokazným hmyzom v roku 2012</w:t>
      </w:r>
    </w:p>
    <w:p w:rsidR="00132247" w:rsidRDefault="00132247" w:rsidP="00132247">
      <w:pPr>
        <w:spacing w:before="0"/>
        <w:rPr>
          <w:bCs/>
          <w:spacing w:val="2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8"/>
        <w:gridCol w:w="780"/>
        <w:gridCol w:w="501"/>
        <w:gridCol w:w="780"/>
        <w:gridCol w:w="496"/>
        <w:gridCol w:w="497"/>
        <w:gridCol w:w="513"/>
        <w:gridCol w:w="485"/>
        <w:gridCol w:w="498"/>
        <w:gridCol w:w="513"/>
        <w:gridCol w:w="780"/>
        <w:gridCol w:w="501"/>
        <w:gridCol w:w="780"/>
      </w:tblGrid>
      <w:tr w:rsidR="00132247" w:rsidTr="00132247">
        <w:trPr>
          <w:trHeight w:val="315"/>
        </w:trPr>
        <w:tc>
          <w:tcPr>
            <w:tcW w:w="824" w:type="pct"/>
            <w:vMerge w:val="restar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center"/>
              <w:rPr>
                <w:rFonts w:ascii="Calibri" w:hAnsi="Calibri"/>
                <w:b/>
                <w:bCs/>
                <w:color w:val="000000"/>
                <w:sz w:val="16"/>
                <w:szCs w:val="16"/>
              </w:rPr>
            </w:pPr>
            <w:r>
              <w:rPr>
                <w:rFonts w:ascii="Calibri" w:hAnsi="Calibri"/>
                <w:b/>
                <w:bCs/>
                <w:color w:val="000000"/>
                <w:sz w:val="16"/>
                <w:szCs w:val="16"/>
              </w:rPr>
              <w:t>Podkôrny a drevokazný hmyz</w:t>
            </w:r>
          </w:p>
        </w:tc>
        <w:tc>
          <w:tcPr>
            <w:tcW w:w="1044" w:type="pct"/>
            <w:gridSpan w:val="3"/>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center"/>
              <w:rPr>
                <w:rFonts w:ascii="Calibri" w:hAnsi="Calibri"/>
                <w:b/>
                <w:bCs/>
                <w:color w:val="000000"/>
                <w:sz w:val="16"/>
                <w:szCs w:val="16"/>
              </w:rPr>
            </w:pPr>
            <w:r>
              <w:rPr>
                <w:rFonts w:ascii="Calibri" w:hAnsi="Calibri"/>
                <w:b/>
                <w:bCs/>
                <w:color w:val="000000"/>
                <w:sz w:val="16"/>
                <w:szCs w:val="16"/>
              </w:rPr>
              <w:t>NV - náhodná vykonaná</w:t>
            </w:r>
          </w:p>
        </w:tc>
        <w:tc>
          <w:tcPr>
            <w:tcW w:w="1044" w:type="pct"/>
            <w:gridSpan w:val="3"/>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center"/>
              <w:rPr>
                <w:rFonts w:ascii="Calibri" w:hAnsi="Calibri"/>
                <w:b/>
                <w:bCs/>
                <w:color w:val="000000"/>
                <w:sz w:val="16"/>
                <w:szCs w:val="16"/>
              </w:rPr>
            </w:pPr>
            <w:r>
              <w:rPr>
                <w:rFonts w:ascii="Calibri" w:hAnsi="Calibri"/>
                <w:b/>
                <w:bCs/>
                <w:color w:val="000000"/>
                <w:sz w:val="16"/>
                <w:szCs w:val="16"/>
              </w:rPr>
              <w:t>NN - náhodná nevykonaná</w:t>
            </w:r>
          </w:p>
        </w:tc>
        <w:tc>
          <w:tcPr>
            <w:tcW w:w="1044" w:type="pct"/>
            <w:gridSpan w:val="3"/>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center"/>
              <w:rPr>
                <w:rFonts w:ascii="Calibri" w:hAnsi="Calibri"/>
                <w:b/>
                <w:bCs/>
                <w:color w:val="000000"/>
                <w:sz w:val="16"/>
                <w:szCs w:val="16"/>
              </w:rPr>
            </w:pPr>
            <w:r>
              <w:rPr>
                <w:rFonts w:ascii="Calibri" w:hAnsi="Calibri"/>
                <w:b/>
                <w:bCs/>
                <w:color w:val="000000"/>
                <w:sz w:val="16"/>
                <w:szCs w:val="16"/>
              </w:rPr>
              <w:t xml:space="preserve">NP -náhodná ťažba </w:t>
            </w:r>
            <w:proofErr w:type="spellStart"/>
            <w:r>
              <w:rPr>
                <w:rFonts w:ascii="Calibri" w:hAnsi="Calibri"/>
                <w:b/>
                <w:bCs/>
                <w:color w:val="000000"/>
                <w:sz w:val="16"/>
                <w:szCs w:val="16"/>
              </w:rPr>
              <w:t>vyk</w:t>
            </w:r>
            <w:proofErr w:type="spellEnd"/>
            <w:r>
              <w:rPr>
                <w:rFonts w:ascii="Calibri" w:hAnsi="Calibri"/>
                <w:b/>
                <w:bCs/>
                <w:color w:val="000000"/>
                <w:sz w:val="16"/>
                <w:szCs w:val="16"/>
              </w:rPr>
              <w:t>. s ponechaním dreva v poraste</w:t>
            </w:r>
          </w:p>
        </w:tc>
        <w:tc>
          <w:tcPr>
            <w:tcW w:w="1044" w:type="pct"/>
            <w:gridSpan w:val="3"/>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center"/>
              <w:rPr>
                <w:rFonts w:ascii="Calibri" w:hAnsi="Calibri"/>
                <w:b/>
                <w:bCs/>
                <w:color w:val="000000"/>
                <w:sz w:val="16"/>
                <w:szCs w:val="16"/>
              </w:rPr>
            </w:pPr>
            <w:r>
              <w:rPr>
                <w:rFonts w:ascii="Calibri" w:hAnsi="Calibri"/>
                <w:b/>
                <w:bCs/>
                <w:color w:val="000000"/>
                <w:sz w:val="16"/>
                <w:szCs w:val="16"/>
              </w:rPr>
              <w:t>Spolu</w:t>
            </w:r>
          </w:p>
        </w:tc>
      </w:tr>
      <w:tr w:rsidR="00132247" w:rsidTr="0013224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rPr>
                <w:rFonts w:ascii="Calibri" w:hAnsi="Calibri"/>
                <w:b/>
                <w:bCs/>
                <w:color w:val="000000"/>
                <w:sz w:val="16"/>
                <w:szCs w:val="16"/>
              </w:rPr>
            </w:pP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center"/>
              <w:rPr>
                <w:rFonts w:ascii="Calibri" w:hAnsi="Calibri"/>
                <w:b/>
                <w:bCs/>
                <w:color w:val="000000"/>
                <w:sz w:val="16"/>
                <w:szCs w:val="16"/>
              </w:rPr>
            </w:pPr>
            <w:proofErr w:type="spellStart"/>
            <w:r>
              <w:rPr>
                <w:rFonts w:ascii="Calibri" w:hAnsi="Calibri"/>
                <w:b/>
                <w:bCs/>
                <w:color w:val="000000"/>
                <w:sz w:val="16"/>
                <w:szCs w:val="16"/>
              </w:rPr>
              <w:t>ihl</w:t>
            </w:r>
            <w:proofErr w:type="spellEnd"/>
            <w:r>
              <w:rPr>
                <w:rFonts w:ascii="Calibri" w:hAnsi="Calibri"/>
                <w:b/>
                <w:bCs/>
                <w:color w:val="000000"/>
                <w:sz w:val="16"/>
                <w:szCs w:val="16"/>
              </w:rPr>
              <w:t>.</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center"/>
              <w:rPr>
                <w:rFonts w:ascii="Calibri" w:hAnsi="Calibri"/>
                <w:b/>
                <w:bCs/>
                <w:color w:val="000000"/>
                <w:sz w:val="16"/>
                <w:szCs w:val="16"/>
              </w:rPr>
            </w:pPr>
            <w:r>
              <w:rPr>
                <w:rFonts w:ascii="Calibri" w:hAnsi="Calibri"/>
                <w:b/>
                <w:bCs/>
                <w:color w:val="000000"/>
                <w:sz w:val="16"/>
                <w:szCs w:val="16"/>
              </w:rPr>
              <w:t>list.</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center"/>
              <w:rPr>
                <w:rFonts w:ascii="Calibri" w:hAnsi="Calibri"/>
                <w:b/>
                <w:bCs/>
                <w:color w:val="000000"/>
                <w:sz w:val="16"/>
                <w:szCs w:val="16"/>
              </w:rPr>
            </w:pPr>
            <w:r>
              <w:rPr>
                <w:rFonts w:ascii="Calibri" w:hAnsi="Calibri"/>
                <w:b/>
                <w:bCs/>
                <w:color w:val="000000"/>
                <w:sz w:val="16"/>
                <w:szCs w:val="16"/>
              </w:rPr>
              <w:t>Spolu</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center"/>
              <w:rPr>
                <w:rFonts w:ascii="Calibri" w:hAnsi="Calibri"/>
                <w:b/>
                <w:bCs/>
                <w:color w:val="000000"/>
                <w:sz w:val="16"/>
                <w:szCs w:val="16"/>
              </w:rPr>
            </w:pPr>
            <w:proofErr w:type="spellStart"/>
            <w:r>
              <w:rPr>
                <w:rFonts w:ascii="Calibri" w:hAnsi="Calibri"/>
                <w:b/>
                <w:bCs/>
                <w:color w:val="000000"/>
                <w:sz w:val="16"/>
                <w:szCs w:val="16"/>
              </w:rPr>
              <w:t>ihl</w:t>
            </w:r>
            <w:proofErr w:type="spellEnd"/>
            <w:r>
              <w:rPr>
                <w:rFonts w:ascii="Calibri" w:hAnsi="Calibri"/>
                <w:b/>
                <w:bCs/>
                <w:color w:val="000000"/>
                <w:sz w:val="16"/>
                <w:szCs w:val="16"/>
              </w:rPr>
              <w:t>.</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center"/>
              <w:rPr>
                <w:rFonts w:ascii="Calibri" w:hAnsi="Calibri"/>
                <w:b/>
                <w:bCs/>
                <w:color w:val="000000"/>
                <w:sz w:val="16"/>
                <w:szCs w:val="16"/>
              </w:rPr>
            </w:pPr>
            <w:r>
              <w:rPr>
                <w:rFonts w:ascii="Calibri" w:hAnsi="Calibri"/>
                <w:b/>
                <w:bCs/>
                <w:color w:val="000000"/>
                <w:sz w:val="16"/>
                <w:szCs w:val="16"/>
              </w:rPr>
              <w:t>list.</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center"/>
              <w:rPr>
                <w:rFonts w:ascii="Calibri" w:hAnsi="Calibri"/>
                <w:b/>
                <w:bCs/>
                <w:color w:val="000000"/>
                <w:sz w:val="16"/>
                <w:szCs w:val="16"/>
              </w:rPr>
            </w:pPr>
            <w:r>
              <w:rPr>
                <w:rFonts w:ascii="Calibri" w:hAnsi="Calibri"/>
                <w:b/>
                <w:bCs/>
                <w:color w:val="000000"/>
                <w:sz w:val="16"/>
                <w:szCs w:val="16"/>
              </w:rPr>
              <w:t>Spolu</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center"/>
              <w:rPr>
                <w:rFonts w:ascii="Calibri" w:hAnsi="Calibri"/>
                <w:b/>
                <w:bCs/>
                <w:color w:val="000000"/>
                <w:sz w:val="16"/>
                <w:szCs w:val="16"/>
              </w:rPr>
            </w:pPr>
            <w:proofErr w:type="spellStart"/>
            <w:r>
              <w:rPr>
                <w:rFonts w:ascii="Calibri" w:hAnsi="Calibri"/>
                <w:b/>
                <w:bCs/>
                <w:color w:val="000000"/>
                <w:sz w:val="16"/>
                <w:szCs w:val="16"/>
              </w:rPr>
              <w:t>ihl</w:t>
            </w:r>
            <w:proofErr w:type="spellEnd"/>
            <w:r>
              <w:rPr>
                <w:rFonts w:ascii="Calibri" w:hAnsi="Calibri"/>
                <w:b/>
                <w:bCs/>
                <w:color w:val="000000"/>
                <w:sz w:val="16"/>
                <w:szCs w:val="16"/>
              </w:rPr>
              <w:t>.</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center"/>
              <w:rPr>
                <w:rFonts w:ascii="Calibri" w:hAnsi="Calibri"/>
                <w:b/>
                <w:bCs/>
                <w:color w:val="000000"/>
                <w:sz w:val="16"/>
                <w:szCs w:val="16"/>
              </w:rPr>
            </w:pPr>
            <w:r>
              <w:rPr>
                <w:rFonts w:ascii="Calibri" w:hAnsi="Calibri"/>
                <w:b/>
                <w:bCs/>
                <w:color w:val="000000"/>
                <w:sz w:val="16"/>
                <w:szCs w:val="16"/>
              </w:rPr>
              <w:t>list.</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center"/>
              <w:rPr>
                <w:rFonts w:ascii="Calibri" w:hAnsi="Calibri"/>
                <w:b/>
                <w:bCs/>
                <w:color w:val="000000"/>
                <w:sz w:val="16"/>
                <w:szCs w:val="16"/>
              </w:rPr>
            </w:pPr>
            <w:r>
              <w:rPr>
                <w:rFonts w:ascii="Calibri" w:hAnsi="Calibri"/>
                <w:b/>
                <w:bCs/>
                <w:color w:val="000000"/>
                <w:sz w:val="16"/>
                <w:szCs w:val="16"/>
              </w:rPr>
              <w:t>Spolu</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center"/>
              <w:rPr>
                <w:rFonts w:ascii="Calibri" w:hAnsi="Calibri"/>
                <w:b/>
                <w:bCs/>
                <w:color w:val="000000"/>
                <w:sz w:val="16"/>
                <w:szCs w:val="16"/>
              </w:rPr>
            </w:pPr>
            <w:proofErr w:type="spellStart"/>
            <w:r>
              <w:rPr>
                <w:rFonts w:ascii="Calibri" w:hAnsi="Calibri"/>
                <w:b/>
                <w:bCs/>
                <w:color w:val="000000"/>
                <w:sz w:val="16"/>
                <w:szCs w:val="16"/>
              </w:rPr>
              <w:t>ihl</w:t>
            </w:r>
            <w:proofErr w:type="spellEnd"/>
            <w:r>
              <w:rPr>
                <w:rFonts w:ascii="Calibri" w:hAnsi="Calibri"/>
                <w:b/>
                <w:bCs/>
                <w:color w:val="000000"/>
                <w:sz w:val="16"/>
                <w:szCs w:val="16"/>
              </w:rPr>
              <w:t>.</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center"/>
              <w:rPr>
                <w:rFonts w:ascii="Calibri" w:hAnsi="Calibri"/>
                <w:b/>
                <w:bCs/>
                <w:color w:val="000000"/>
                <w:sz w:val="16"/>
                <w:szCs w:val="16"/>
              </w:rPr>
            </w:pPr>
            <w:r>
              <w:rPr>
                <w:rFonts w:ascii="Calibri" w:hAnsi="Calibri"/>
                <w:b/>
                <w:bCs/>
                <w:color w:val="000000"/>
                <w:sz w:val="16"/>
                <w:szCs w:val="16"/>
              </w:rPr>
              <w:t>list.</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center"/>
              <w:rPr>
                <w:rFonts w:ascii="Calibri" w:hAnsi="Calibri"/>
                <w:b/>
                <w:bCs/>
                <w:color w:val="000000"/>
                <w:sz w:val="16"/>
                <w:szCs w:val="16"/>
              </w:rPr>
            </w:pPr>
            <w:r>
              <w:rPr>
                <w:rFonts w:ascii="Calibri" w:hAnsi="Calibri"/>
                <w:b/>
                <w:bCs/>
                <w:color w:val="000000"/>
                <w:sz w:val="16"/>
                <w:szCs w:val="16"/>
              </w:rPr>
              <w:t>Spolu</w:t>
            </w:r>
          </w:p>
        </w:tc>
      </w:tr>
      <w:tr w:rsidR="00132247" w:rsidTr="00132247">
        <w:trPr>
          <w:trHeight w:val="315"/>
        </w:trPr>
        <w:tc>
          <w:tcPr>
            <w:tcW w:w="824"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both"/>
              <w:rPr>
                <w:rFonts w:ascii="Calibri" w:hAnsi="Calibri"/>
                <w:color w:val="000000"/>
                <w:sz w:val="16"/>
                <w:szCs w:val="16"/>
              </w:rPr>
            </w:pPr>
            <w:r>
              <w:rPr>
                <w:rFonts w:ascii="Calibri" w:hAnsi="Calibri"/>
                <w:color w:val="000000"/>
                <w:sz w:val="16"/>
                <w:szCs w:val="16"/>
              </w:rPr>
              <w:lastRenderedPageBreak/>
              <w:t>Lykožrút smrekový</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1 245 234</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1 826</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1 247 060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12 225</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12 225</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468</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468</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1 257 927</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1 826</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1 259 753</w:t>
            </w:r>
          </w:p>
        </w:tc>
      </w:tr>
      <w:tr w:rsidR="00132247" w:rsidTr="00132247">
        <w:trPr>
          <w:trHeight w:val="315"/>
        </w:trPr>
        <w:tc>
          <w:tcPr>
            <w:tcW w:w="824"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both"/>
              <w:rPr>
                <w:rFonts w:ascii="Calibri" w:hAnsi="Calibri"/>
                <w:color w:val="000000"/>
                <w:sz w:val="16"/>
                <w:szCs w:val="16"/>
              </w:rPr>
            </w:pPr>
            <w:r>
              <w:rPr>
                <w:rFonts w:ascii="Calibri" w:hAnsi="Calibri"/>
                <w:color w:val="000000"/>
                <w:sz w:val="16"/>
                <w:szCs w:val="16"/>
              </w:rPr>
              <w:t>Lykožrút lesklý</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5 310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21</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5 331</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5 310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21</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5 331</w:t>
            </w:r>
          </w:p>
        </w:tc>
      </w:tr>
      <w:tr w:rsidR="00132247" w:rsidTr="00132247">
        <w:trPr>
          <w:trHeight w:val="315"/>
        </w:trPr>
        <w:tc>
          <w:tcPr>
            <w:tcW w:w="824"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both"/>
              <w:rPr>
                <w:rFonts w:ascii="Calibri" w:hAnsi="Calibri"/>
                <w:color w:val="000000"/>
                <w:sz w:val="16"/>
                <w:szCs w:val="16"/>
              </w:rPr>
            </w:pPr>
            <w:proofErr w:type="spellStart"/>
            <w:r>
              <w:rPr>
                <w:rFonts w:ascii="Calibri" w:hAnsi="Calibri"/>
                <w:color w:val="000000"/>
                <w:sz w:val="16"/>
                <w:szCs w:val="16"/>
              </w:rPr>
              <w:t>Podkôrnikové</w:t>
            </w:r>
            <w:proofErr w:type="spellEnd"/>
            <w:r>
              <w:rPr>
                <w:rFonts w:ascii="Calibri" w:hAnsi="Calibri"/>
                <w:color w:val="000000"/>
                <w:sz w:val="16"/>
                <w:szCs w:val="16"/>
              </w:rPr>
              <w:t xml:space="preserve"> na borovici</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13 561</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55</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13 616</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13 561</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55</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13 616</w:t>
            </w:r>
          </w:p>
        </w:tc>
      </w:tr>
      <w:tr w:rsidR="00132247" w:rsidTr="00132247">
        <w:trPr>
          <w:trHeight w:val="315"/>
        </w:trPr>
        <w:tc>
          <w:tcPr>
            <w:tcW w:w="824"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both"/>
              <w:rPr>
                <w:rFonts w:ascii="Calibri" w:hAnsi="Calibri"/>
                <w:color w:val="000000"/>
                <w:sz w:val="16"/>
                <w:szCs w:val="16"/>
              </w:rPr>
            </w:pPr>
            <w:r>
              <w:rPr>
                <w:rFonts w:ascii="Calibri" w:hAnsi="Calibri"/>
                <w:color w:val="000000"/>
                <w:sz w:val="16"/>
                <w:szCs w:val="16"/>
              </w:rPr>
              <w:t>Lykožrút smrekovcový</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749</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11</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760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749</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11</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760</w:t>
            </w:r>
          </w:p>
        </w:tc>
      </w:tr>
      <w:tr w:rsidR="00132247" w:rsidTr="00132247">
        <w:trPr>
          <w:trHeight w:val="315"/>
        </w:trPr>
        <w:tc>
          <w:tcPr>
            <w:tcW w:w="824"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both"/>
              <w:rPr>
                <w:rFonts w:ascii="Calibri" w:hAnsi="Calibri"/>
                <w:color w:val="000000"/>
                <w:sz w:val="16"/>
                <w:szCs w:val="16"/>
              </w:rPr>
            </w:pPr>
            <w:r>
              <w:rPr>
                <w:rFonts w:ascii="Calibri" w:hAnsi="Calibri"/>
                <w:color w:val="000000"/>
                <w:sz w:val="16"/>
                <w:szCs w:val="16"/>
              </w:rPr>
              <w:t>Lykožrúty na jedli</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357</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357</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357</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357</w:t>
            </w:r>
          </w:p>
        </w:tc>
      </w:tr>
      <w:tr w:rsidR="00132247" w:rsidTr="00132247">
        <w:trPr>
          <w:trHeight w:val="315"/>
        </w:trPr>
        <w:tc>
          <w:tcPr>
            <w:tcW w:w="824"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both"/>
              <w:rPr>
                <w:rFonts w:ascii="Calibri" w:hAnsi="Calibri"/>
                <w:color w:val="000000"/>
                <w:sz w:val="16"/>
                <w:szCs w:val="16"/>
              </w:rPr>
            </w:pPr>
            <w:r>
              <w:rPr>
                <w:rFonts w:ascii="Calibri" w:hAnsi="Calibri"/>
                <w:color w:val="000000"/>
                <w:sz w:val="16"/>
                <w:szCs w:val="16"/>
              </w:rPr>
              <w:t>Podkôrnik dubový</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534</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534</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534</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534</w:t>
            </w:r>
          </w:p>
        </w:tc>
      </w:tr>
      <w:tr w:rsidR="00132247" w:rsidTr="00132247">
        <w:trPr>
          <w:trHeight w:val="315"/>
        </w:trPr>
        <w:tc>
          <w:tcPr>
            <w:tcW w:w="824"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both"/>
              <w:rPr>
                <w:rFonts w:ascii="Calibri" w:hAnsi="Calibri"/>
                <w:color w:val="000000"/>
                <w:sz w:val="16"/>
                <w:szCs w:val="16"/>
              </w:rPr>
            </w:pPr>
            <w:r>
              <w:rPr>
                <w:rFonts w:ascii="Calibri" w:hAnsi="Calibri"/>
                <w:color w:val="000000"/>
                <w:sz w:val="16"/>
                <w:szCs w:val="16"/>
              </w:rPr>
              <w:t>Iný podkôrny hmyz</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611 117</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3 714</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614 831</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537 754</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19</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537 773</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3 921</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3 921</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1 152 792</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3 733</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color w:val="000000"/>
                <w:sz w:val="16"/>
                <w:szCs w:val="16"/>
              </w:rPr>
            </w:pPr>
            <w:r>
              <w:rPr>
                <w:rFonts w:ascii="Calibri" w:hAnsi="Calibri"/>
                <w:color w:val="000000"/>
                <w:sz w:val="16"/>
                <w:szCs w:val="16"/>
              </w:rPr>
              <w:t>1 156 525</w:t>
            </w:r>
          </w:p>
        </w:tc>
      </w:tr>
      <w:tr w:rsidR="00132247" w:rsidTr="00132247">
        <w:trPr>
          <w:trHeight w:val="315"/>
        </w:trPr>
        <w:tc>
          <w:tcPr>
            <w:tcW w:w="824"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both"/>
              <w:rPr>
                <w:rFonts w:ascii="Calibri" w:hAnsi="Calibri"/>
                <w:b/>
                <w:color w:val="000000"/>
                <w:sz w:val="16"/>
                <w:szCs w:val="16"/>
              </w:rPr>
            </w:pPr>
            <w:r>
              <w:rPr>
                <w:rFonts w:ascii="Calibri" w:hAnsi="Calibri"/>
                <w:b/>
                <w:color w:val="000000"/>
                <w:sz w:val="16"/>
                <w:szCs w:val="16"/>
              </w:rPr>
              <w:t>Spolu</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b/>
                <w:color w:val="000000"/>
                <w:sz w:val="16"/>
                <w:szCs w:val="16"/>
              </w:rPr>
            </w:pPr>
            <w:r>
              <w:rPr>
                <w:rFonts w:ascii="Calibri" w:hAnsi="Calibri"/>
                <w:b/>
                <w:color w:val="000000"/>
                <w:sz w:val="16"/>
                <w:szCs w:val="16"/>
              </w:rPr>
              <w:t>1 876 328</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b/>
                <w:color w:val="000000"/>
                <w:sz w:val="16"/>
                <w:szCs w:val="16"/>
              </w:rPr>
            </w:pPr>
            <w:r>
              <w:rPr>
                <w:rFonts w:ascii="Calibri" w:hAnsi="Calibri"/>
                <w:b/>
                <w:color w:val="000000"/>
                <w:sz w:val="16"/>
                <w:szCs w:val="16"/>
              </w:rPr>
              <w:t>6 161</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b/>
                <w:color w:val="000000"/>
                <w:sz w:val="16"/>
                <w:szCs w:val="16"/>
              </w:rPr>
            </w:pPr>
            <w:r>
              <w:rPr>
                <w:rFonts w:ascii="Calibri" w:hAnsi="Calibri"/>
                <w:b/>
                <w:color w:val="000000"/>
                <w:sz w:val="16"/>
                <w:szCs w:val="16"/>
              </w:rPr>
              <w:t>1 882 489</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b/>
                <w:color w:val="000000"/>
                <w:sz w:val="16"/>
                <w:szCs w:val="16"/>
              </w:rPr>
            </w:pPr>
            <w:r>
              <w:rPr>
                <w:rFonts w:ascii="Calibri" w:hAnsi="Calibri"/>
                <w:b/>
                <w:color w:val="000000"/>
                <w:sz w:val="16"/>
                <w:szCs w:val="16"/>
              </w:rPr>
              <w:t>549 979</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b/>
                <w:color w:val="000000"/>
                <w:sz w:val="16"/>
                <w:szCs w:val="16"/>
              </w:rPr>
            </w:pPr>
            <w:r>
              <w:rPr>
                <w:rFonts w:ascii="Calibri" w:hAnsi="Calibri"/>
                <w:b/>
                <w:color w:val="000000"/>
                <w:sz w:val="16"/>
                <w:szCs w:val="16"/>
              </w:rPr>
              <w:t>19</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b/>
                <w:color w:val="000000"/>
                <w:sz w:val="16"/>
                <w:szCs w:val="16"/>
              </w:rPr>
            </w:pPr>
            <w:r>
              <w:rPr>
                <w:rFonts w:ascii="Calibri" w:hAnsi="Calibri"/>
                <w:b/>
                <w:color w:val="000000"/>
                <w:sz w:val="16"/>
                <w:szCs w:val="16"/>
              </w:rPr>
              <w:t>549 998</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b/>
                <w:color w:val="000000"/>
                <w:sz w:val="16"/>
                <w:szCs w:val="16"/>
              </w:rPr>
            </w:pPr>
            <w:r>
              <w:rPr>
                <w:rFonts w:ascii="Calibri" w:hAnsi="Calibri"/>
                <w:b/>
                <w:color w:val="000000"/>
                <w:sz w:val="16"/>
                <w:szCs w:val="16"/>
              </w:rPr>
              <w:t>4 389</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b/>
                <w:color w:val="000000"/>
                <w:sz w:val="16"/>
                <w:szCs w:val="16"/>
              </w:rPr>
            </w:pPr>
            <w:r>
              <w:rPr>
                <w:rFonts w:ascii="Calibri" w:hAnsi="Calibri"/>
                <w:b/>
                <w:color w:val="000000"/>
                <w:sz w:val="16"/>
                <w:szCs w:val="16"/>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132247" w:rsidRDefault="00132247">
            <w:pPr>
              <w:spacing w:before="0"/>
              <w:jc w:val="right"/>
              <w:rPr>
                <w:rFonts w:ascii="Calibri" w:hAnsi="Calibri"/>
                <w:b/>
                <w:color w:val="000000"/>
                <w:sz w:val="16"/>
                <w:szCs w:val="16"/>
              </w:rPr>
            </w:pPr>
            <w:r>
              <w:rPr>
                <w:rFonts w:ascii="Calibri" w:hAnsi="Calibri"/>
                <w:b/>
                <w:color w:val="000000"/>
                <w:sz w:val="16"/>
                <w:szCs w:val="16"/>
              </w:rPr>
              <w:t>4 389</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b/>
                <w:color w:val="000000"/>
                <w:sz w:val="16"/>
                <w:szCs w:val="16"/>
              </w:rPr>
            </w:pPr>
            <w:r>
              <w:rPr>
                <w:rFonts w:ascii="Calibri" w:hAnsi="Calibri"/>
                <w:b/>
                <w:color w:val="000000"/>
                <w:sz w:val="16"/>
                <w:szCs w:val="16"/>
              </w:rPr>
              <w:t>2 430 696</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b/>
                <w:color w:val="000000"/>
                <w:sz w:val="16"/>
                <w:szCs w:val="16"/>
              </w:rPr>
            </w:pPr>
            <w:r>
              <w:rPr>
                <w:rFonts w:ascii="Calibri" w:hAnsi="Calibri"/>
                <w:b/>
                <w:color w:val="000000"/>
                <w:sz w:val="16"/>
                <w:szCs w:val="16"/>
              </w:rPr>
              <w:t>6 180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132247" w:rsidRDefault="00132247">
            <w:pPr>
              <w:spacing w:before="0"/>
              <w:jc w:val="right"/>
              <w:rPr>
                <w:rFonts w:ascii="Calibri" w:hAnsi="Calibri"/>
                <w:b/>
                <w:color w:val="000000"/>
                <w:sz w:val="16"/>
                <w:szCs w:val="16"/>
              </w:rPr>
            </w:pPr>
            <w:r>
              <w:rPr>
                <w:rFonts w:ascii="Calibri" w:hAnsi="Calibri"/>
                <w:b/>
                <w:color w:val="000000"/>
                <w:sz w:val="16"/>
                <w:szCs w:val="16"/>
              </w:rPr>
              <w:t>2 436 876</w:t>
            </w:r>
          </w:p>
        </w:tc>
      </w:tr>
    </w:tbl>
    <w:p w:rsidR="00132247" w:rsidRDefault="00132247" w:rsidP="00132247">
      <w:pPr>
        <w:spacing w:before="0"/>
        <w:rPr>
          <w:bCs/>
          <w:spacing w:val="20"/>
          <w:sz w:val="22"/>
        </w:rPr>
      </w:pPr>
    </w:p>
    <w:p w:rsidR="00132247" w:rsidRDefault="00132247" w:rsidP="00132247">
      <w:pPr>
        <w:spacing w:before="0"/>
        <w:rPr>
          <w:bCs/>
          <w:spacing w:val="20"/>
          <w:sz w:val="22"/>
        </w:rPr>
      </w:pPr>
    </w:p>
    <w:p w:rsidR="00132247" w:rsidRDefault="00132247" w:rsidP="00132247">
      <w:pPr>
        <w:spacing w:before="0"/>
        <w:rPr>
          <w:bCs/>
          <w:spacing w:val="20"/>
          <w:sz w:val="22"/>
        </w:rPr>
      </w:pPr>
      <w:r>
        <w:rPr>
          <w:noProof/>
          <w:spacing w:val="20"/>
          <w:sz w:val="22"/>
        </w:rPr>
        <w:drawing>
          <wp:inline distT="0" distB="0" distL="0" distR="0">
            <wp:extent cx="4629150" cy="27717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2771775"/>
                    </a:xfrm>
                    <a:prstGeom prst="rect">
                      <a:avLst/>
                    </a:prstGeom>
                    <a:noFill/>
                    <a:ln>
                      <a:noFill/>
                    </a:ln>
                  </pic:spPr>
                </pic:pic>
              </a:graphicData>
            </a:graphic>
          </wp:inline>
        </w:drawing>
      </w:r>
    </w:p>
    <w:p w:rsidR="00132247" w:rsidRDefault="00132247" w:rsidP="00132247">
      <w:pPr>
        <w:pStyle w:val="Popis"/>
        <w:jc w:val="center"/>
      </w:pPr>
      <w:r>
        <w:t xml:space="preserve">Obrázok </w:t>
      </w:r>
      <w:r>
        <w:fldChar w:fldCharType="begin"/>
      </w:r>
      <w:r>
        <w:instrText xml:space="preserve"> SEQ Obrázok \* ARABIC </w:instrText>
      </w:r>
      <w:r>
        <w:fldChar w:fldCharType="separate"/>
      </w:r>
      <w:r>
        <w:rPr>
          <w:noProof/>
        </w:rPr>
        <w:t>16</w:t>
      </w:r>
      <w:r>
        <w:rPr>
          <w:noProof/>
        </w:rPr>
        <w:fldChar w:fldCharType="end"/>
      </w:r>
      <w:r>
        <w:t>. Objemy náhodných ťažieb spôsobených podkôrnym a drevokazným hmyzom v roku 2012</w:t>
      </w:r>
    </w:p>
    <w:p w:rsidR="00132247" w:rsidRDefault="00132247" w:rsidP="00132247">
      <w:pPr>
        <w:spacing w:before="0"/>
        <w:rPr>
          <w:bCs/>
          <w:spacing w:val="20"/>
          <w:sz w:val="22"/>
        </w:rPr>
      </w:pPr>
    </w:p>
    <w:p w:rsidR="00132247" w:rsidRDefault="00132247" w:rsidP="00132247">
      <w:pPr>
        <w:spacing w:before="0"/>
        <w:rPr>
          <w:bCs/>
          <w:spacing w:val="20"/>
          <w:sz w:val="22"/>
        </w:rPr>
      </w:pPr>
    </w:p>
    <w:p w:rsidR="00132247" w:rsidRDefault="00132247" w:rsidP="00132247">
      <w:pPr>
        <w:ind w:firstLine="284"/>
        <w:jc w:val="both"/>
        <w:rPr>
          <w:color w:val="000000"/>
        </w:rPr>
      </w:pPr>
      <w:r>
        <w:rPr>
          <w:b/>
        </w:rPr>
        <w:t xml:space="preserve">Lykožrút smrekový </w:t>
      </w:r>
      <w:r>
        <w:t>(</w:t>
      </w:r>
      <w:r>
        <w:rPr>
          <w:i/>
        </w:rPr>
        <w:t>Ips typographus</w:t>
      </w:r>
      <w:r>
        <w:t>)</w:t>
      </w:r>
      <w:r>
        <w:rPr>
          <w:b/>
        </w:rPr>
        <w:t xml:space="preserve"> </w:t>
      </w:r>
      <w:r>
        <w:t>je v našom regióne už dlhodobo náš najvýznamnejší, najagresívnejší a najnebezpečnejší podkôrny škodca. V roku 2012 bolo evidovaných viac ako 1,2 mil. m</w:t>
      </w:r>
      <w:r>
        <w:rPr>
          <w:vertAlign w:val="superscript"/>
        </w:rPr>
        <w:t>3</w:t>
      </w:r>
      <w:r>
        <w:t xml:space="preserve"> náhodnej vykonanej ťažby, pričom náhodnej nevykonanej ťažby bolo evidovaných cez 12 tis. m</w:t>
      </w:r>
      <w:r>
        <w:rPr>
          <w:vertAlign w:val="superscript"/>
        </w:rPr>
        <w:t>3</w:t>
      </w:r>
      <w:r>
        <w:t xml:space="preserve">. Pre porovnanie v roku 2011 dokázal napadnúť </w:t>
      </w:r>
      <w:r>
        <w:rPr>
          <w:color w:val="000000"/>
        </w:rPr>
        <w:t>2 145 546 m</w:t>
      </w:r>
      <w:r>
        <w:rPr>
          <w:color w:val="000000"/>
          <w:vertAlign w:val="superscript"/>
        </w:rPr>
        <w:t>3</w:t>
      </w:r>
      <w:r>
        <w:rPr>
          <w:color w:val="000000"/>
        </w:rPr>
        <w:t>, pričom nespracovaných ostalo až 423 537 m</w:t>
      </w:r>
      <w:r>
        <w:rPr>
          <w:color w:val="000000"/>
          <w:vertAlign w:val="superscript"/>
        </w:rPr>
        <w:t>3</w:t>
      </w:r>
      <w:r>
        <w:rPr>
          <w:color w:val="000000"/>
        </w:rPr>
        <w:t>, čo je oproti roku 2011 výrazný pokles, keď napadol až 3 450 366 m</w:t>
      </w:r>
      <w:r>
        <w:rPr>
          <w:color w:val="000000"/>
          <w:vertAlign w:val="superscript"/>
        </w:rPr>
        <w:t>3</w:t>
      </w:r>
      <w:r>
        <w:rPr>
          <w:color w:val="000000"/>
        </w:rPr>
        <w:t xml:space="preserve"> hmoty, pričom ostalo nespracovaných až 713 092 m</w:t>
      </w:r>
      <w:r>
        <w:rPr>
          <w:color w:val="000000"/>
          <w:vertAlign w:val="superscript"/>
        </w:rPr>
        <w:t>3</w:t>
      </w:r>
      <w:r>
        <w:rPr>
          <w:color w:val="000000"/>
        </w:rPr>
        <w:t>. Napadnuté boli všetky kraje, pričom najviac Žilinský kraj (spolu napadnutých 675 564 m</w:t>
      </w:r>
      <w:r>
        <w:rPr>
          <w:color w:val="000000"/>
          <w:vertAlign w:val="superscript"/>
        </w:rPr>
        <w:t>3</w:t>
      </w:r>
      <w:r>
        <w:rPr>
          <w:color w:val="000000"/>
        </w:rPr>
        <w:t>, v predchádzajúcom roku až 1 125 624 m</w:t>
      </w:r>
      <w:r>
        <w:rPr>
          <w:color w:val="000000"/>
          <w:vertAlign w:val="superscript"/>
        </w:rPr>
        <w:t>3</w:t>
      </w:r>
      <w:r>
        <w:rPr>
          <w:color w:val="000000"/>
        </w:rPr>
        <w:t>, najviac okresy Liptovský Mikuláš 281 101 m</w:t>
      </w:r>
      <w:r>
        <w:rPr>
          <w:color w:val="000000"/>
          <w:vertAlign w:val="superscript"/>
        </w:rPr>
        <w:t>3</w:t>
      </w:r>
      <w:r>
        <w:rPr>
          <w:color w:val="000000"/>
        </w:rPr>
        <w:t>, v roku 2011 to bolo 508 900 m</w:t>
      </w:r>
      <w:r>
        <w:rPr>
          <w:color w:val="000000"/>
          <w:vertAlign w:val="superscript"/>
        </w:rPr>
        <w:t>3</w:t>
      </w:r>
      <w:r>
        <w:rPr>
          <w:color w:val="000000"/>
        </w:rPr>
        <w:t xml:space="preserve"> a Čadca 178 458 m</w:t>
      </w:r>
      <w:r>
        <w:rPr>
          <w:color w:val="000000"/>
          <w:vertAlign w:val="superscript"/>
        </w:rPr>
        <w:t>3</w:t>
      </w:r>
      <w:r>
        <w:rPr>
          <w:color w:val="000000"/>
        </w:rPr>
        <w:t>, v roku 2011 to bolo 208 661 m</w:t>
      </w:r>
      <w:r>
        <w:rPr>
          <w:color w:val="000000"/>
          <w:vertAlign w:val="superscript"/>
        </w:rPr>
        <w:t>3</w:t>
      </w:r>
      <w:r>
        <w:rPr>
          <w:color w:val="000000"/>
        </w:rPr>
        <w:t>),</w:t>
      </w:r>
      <w:r>
        <w:rPr>
          <w:color w:val="000000"/>
          <w:highlight w:val="yellow"/>
        </w:rPr>
        <w:t xml:space="preserve"> </w:t>
      </w:r>
      <w:r>
        <w:rPr>
          <w:color w:val="000000"/>
        </w:rPr>
        <w:t>Banskobystrický kraj (spolu napadnutých 253 443 m</w:t>
      </w:r>
      <w:r>
        <w:rPr>
          <w:color w:val="000000"/>
          <w:vertAlign w:val="superscript"/>
        </w:rPr>
        <w:t>3</w:t>
      </w:r>
      <w:r>
        <w:rPr>
          <w:color w:val="000000"/>
        </w:rPr>
        <w:t>, v predchádzajúcom roku 363 885 m</w:t>
      </w:r>
      <w:r>
        <w:rPr>
          <w:color w:val="000000"/>
          <w:vertAlign w:val="superscript"/>
        </w:rPr>
        <w:t>3</w:t>
      </w:r>
      <w:r>
        <w:rPr>
          <w:color w:val="000000"/>
        </w:rPr>
        <w:t>, najviac okresy Brezno 179 244 m</w:t>
      </w:r>
      <w:r>
        <w:rPr>
          <w:color w:val="000000"/>
          <w:vertAlign w:val="superscript"/>
        </w:rPr>
        <w:t>3</w:t>
      </w:r>
      <w:r>
        <w:rPr>
          <w:color w:val="000000"/>
        </w:rPr>
        <w:t>, v roku 2011 to bolo 272 487 m</w:t>
      </w:r>
      <w:r>
        <w:rPr>
          <w:color w:val="000000"/>
          <w:vertAlign w:val="superscript"/>
        </w:rPr>
        <w:t>3</w:t>
      </w:r>
      <w:r>
        <w:rPr>
          <w:color w:val="000000"/>
        </w:rPr>
        <w:t xml:space="preserve"> a Rimavská Sobota 44 089 m</w:t>
      </w:r>
      <w:r>
        <w:rPr>
          <w:color w:val="000000"/>
          <w:vertAlign w:val="superscript"/>
        </w:rPr>
        <w:t>3</w:t>
      </w:r>
      <w:r>
        <w:rPr>
          <w:color w:val="000000"/>
        </w:rPr>
        <w:t>, v roku 2011 to bolo 43 678 m</w:t>
      </w:r>
      <w:r>
        <w:rPr>
          <w:color w:val="000000"/>
          <w:vertAlign w:val="superscript"/>
        </w:rPr>
        <w:t>3</w:t>
      </w:r>
      <w:r>
        <w:rPr>
          <w:color w:val="000000"/>
        </w:rPr>
        <w:t>), Prešovský kraj (spolu napadnutých 149 033 m</w:t>
      </w:r>
      <w:r>
        <w:rPr>
          <w:color w:val="000000"/>
          <w:vertAlign w:val="superscript"/>
        </w:rPr>
        <w:t>3</w:t>
      </w:r>
      <w:r>
        <w:rPr>
          <w:color w:val="000000"/>
        </w:rPr>
        <w:t>, v predchádzajúcom roku 328 290 m</w:t>
      </w:r>
      <w:r>
        <w:rPr>
          <w:color w:val="000000"/>
          <w:vertAlign w:val="superscript"/>
        </w:rPr>
        <w:t>3</w:t>
      </w:r>
      <w:r>
        <w:rPr>
          <w:color w:val="000000"/>
        </w:rPr>
        <w:t>, najviac okresy Poprad 71 611 m</w:t>
      </w:r>
      <w:r>
        <w:rPr>
          <w:color w:val="000000"/>
          <w:vertAlign w:val="superscript"/>
        </w:rPr>
        <w:t>3</w:t>
      </w:r>
      <w:r>
        <w:rPr>
          <w:color w:val="000000"/>
        </w:rPr>
        <w:t>, v roku 2011 to bolo až 225 848 m</w:t>
      </w:r>
      <w:r>
        <w:rPr>
          <w:color w:val="000000"/>
          <w:vertAlign w:val="superscript"/>
        </w:rPr>
        <w:t>3</w:t>
      </w:r>
      <w:r>
        <w:rPr>
          <w:color w:val="000000"/>
        </w:rPr>
        <w:t xml:space="preserve"> a Kežmarok 41 553 m</w:t>
      </w:r>
      <w:r>
        <w:rPr>
          <w:color w:val="000000"/>
          <w:vertAlign w:val="superscript"/>
        </w:rPr>
        <w:t>3</w:t>
      </w:r>
      <w:r>
        <w:rPr>
          <w:color w:val="000000"/>
        </w:rPr>
        <w:t>, v roku 2011 to bolo 67 073 m</w:t>
      </w:r>
      <w:r>
        <w:rPr>
          <w:color w:val="000000"/>
          <w:vertAlign w:val="superscript"/>
        </w:rPr>
        <w:t>3</w:t>
      </w:r>
      <w:r>
        <w:rPr>
          <w:color w:val="000000"/>
        </w:rPr>
        <w:t>) a Košický kraj (spolu napadnutých 154 020 m</w:t>
      </w:r>
      <w:r>
        <w:rPr>
          <w:color w:val="000000"/>
          <w:vertAlign w:val="superscript"/>
        </w:rPr>
        <w:t>3</w:t>
      </w:r>
      <w:r>
        <w:rPr>
          <w:color w:val="000000"/>
        </w:rPr>
        <w:t>, v predchádzajúcom roku 285 676 m</w:t>
      </w:r>
      <w:r>
        <w:rPr>
          <w:color w:val="000000"/>
          <w:vertAlign w:val="superscript"/>
        </w:rPr>
        <w:t>3</w:t>
      </w:r>
      <w:r>
        <w:rPr>
          <w:color w:val="000000"/>
        </w:rPr>
        <w:t>, najviac okresy Rožňava 111 763 m</w:t>
      </w:r>
      <w:r>
        <w:rPr>
          <w:color w:val="000000"/>
          <w:vertAlign w:val="superscript"/>
        </w:rPr>
        <w:t>3</w:t>
      </w:r>
      <w:r>
        <w:rPr>
          <w:color w:val="000000"/>
        </w:rPr>
        <w:t>, v roku 2011 to bolo 143 602 m</w:t>
      </w:r>
      <w:r>
        <w:rPr>
          <w:color w:val="000000"/>
          <w:vertAlign w:val="superscript"/>
        </w:rPr>
        <w:t>3</w:t>
      </w:r>
      <w:r>
        <w:rPr>
          <w:color w:val="000000"/>
        </w:rPr>
        <w:t xml:space="preserve"> a Spišská Nová Ves 36 475 m</w:t>
      </w:r>
      <w:r>
        <w:rPr>
          <w:color w:val="000000"/>
          <w:vertAlign w:val="superscript"/>
        </w:rPr>
        <w:t>3</w:t>
      </w:r>
      <w:r>
        <w:rPr>
          <w:color w:val="000000"/>
        </w:rPr>
        <w:t xml:space="preserve">). </w:t>
      </w:r>
    </w:p>
    <w:p w:rsidR="00132247" w:rsidRDefault="00132247" w:rsidP="00132247">
      <w:pPr>
        <w:ind w:firstLine="284"/>
        <w:jc w:val="both"/>
        <w:rPr>
          <w:color w:val="000000"/>
          <w:highlight w:val="yellow"/>
        </w:rPr>
      </w:pPr>
      <w:r>
        <w:rPr>
          <w:b/>
          <w:color w:val="000000"/>
        </w:rPr>
        <w:lastRenderedPageBreak/>
        <w:t>Lykožrút lesklý</w:t>
      </w:r>
      <w:r>
        <w:rPr>
          <w:color w:val="000000"/>
        </w:rPr>
        <w:t xml:space="preserve"> (</w:t>
      </w:r>
      <w:r>
        <w:rPr>
          <w:i/>
          <w:color w:val="000000"/>
        </w:rPr>
        <w:t>Pityogenes chalcographus</w:t>
      </w:r>
      <w:r>
        <w:rPr>
          <w:color w:val="000000"/>
        </w:rPr>
        <w:t>) je u nás druhý najvýznamnejší podkôrny škodca, ktorý napáda najmä mladšie smrekové porasty a úspešne sa množí na ťažbových zvyškoch. V roku 2012 bola vykonaná náhodná ťažba spôsobená lykožrútom lesklým o hmote 5,3 tis. m</w:t>
      </w:r>
      <w:r>
        <w:rPr>
          <w:color w:val="000000"/>
          <w:vertAlign w:val="superscript"/>
        </w:rPr>
        <w:t>3</w:t>
      </w:r>
      <w:r>
        <w:rPr>
          <w:color w:val="000000"/>
        </w:rPr>
        <w:t>, čo je takmer desaťnásobný pokles oproti roku 2011, kedy sa celkovo vyťažilo až 50 720 m</w:t>
      </w:r>
      <w:r>
        <w:rPr>
          <w:color w:val="000000"/>
          <w:vertAlign w:val="superscript"/>
        </w:rPr>
        <w:t>3</w:t>
      </w:r>
      <w:r>
        <w:rPr>
          <w:color w:val="000000"/>
        </w:rPr>
        <w:t>, z čoho 3 641 m</w:t>
      </w:r>
      <w:r>
        <w:rPr>
          <w:color w:val="000000"/>
          <w:vertAlign w:val="superscript"/>
        </w:rPr>
        <w:t>3</w:t>
      </w:r>
      <w:r>
        <w:rPr>
          <w:color w:val="000000"/>
        </w:rPr>
        <w:t xml:space="preserve"> ostalo spracovať a roku 2010 napadol ešte viac, až 81 974 m</w:t>
      </w:r>
      <w:r>
        <w:rPr>
          <w:color w:val="000000"/>
          <w:vertAlign w:val="superscript"/>
        </w:rPr>
        <w:t>3</w:t>
      </w:r>
      <w:r>
        <w:rPr>
          <w:color w:val="000000"/>
        </w:rPr>
        <w:t>, kedy ostalo spracovať 6 568 m</w:t>
      </w:r>
      <w:r>
        <w:rPr>
          <w:color w:val="000000"/>
          <w:vertAlign w:val="superscript"/>
        </w:rPr>
        <w:t>3</w:t>
      </w:r>
      <w:r>
        <w:rPr>
          <w:color w:val="000000"/>
        </w:rPr>
        <w:t>. Vzhľadom na reálny stav populácie lykožrúta lesklého na Slovensku, predpokladáme, že uvedené množstvo vykonanej náhodnej ťažby nie je celkom presné a došlo k nesprávnemu zaevidovaniu škodlivého činiteľa. Najviac z napadnutej hmoty v roku 2012 bolo evidované v Žilinskom kraji (v okrese Čadca 2 357 m</w:t>
      </w:r>
      <w:r>
        <w:rPr>
          <w:color w:val="000000"/>
          <w:vertAlign w:val="superscript"/>
        </w:rPr>
        <w:t>3</w:t>
      </w:r>
      <w:r>
        <w:rPr>
          <w:color w:val="000000"/>
        </w:rPr>
        <w:t>, Tvrdošín 1 562 m</w:t>
      </w:r>
      <w:r>
        <w:rPr>
          <w:color w:val="000000"/>
          <w:vertAlign w:val="superscript"/>
        </w:rPr>
        <w:t>3</w:t>
      </w:r>
      <w:r>
        <w:rPr>
          <w:color w:val="000000"/>
        </w:rPr>
        <w:t xml:space="preserve"> a Námestovo 479 m</w:t>
      </w:r>
      <w:r>
        <w:rPr>
          <w:color w:val="000000"/>
          <w:vertAlign w:val="superscript"/>
        </w:rPr>
        <w:t>3</w:t>
      </w:r>
      <w:r>
        <w:rPr>
          <w:color w:val="000000"/>
        </w:rPr>
        <w:t>).</w:t>
      </w:r>
      <w:r>
        <w:rPr>
          <w:color w:val="000000"/>
          <w:highlight w:val="yellow"/>
        </w:rPr>
        <w:t xml:space="preserve"> </w:t>
      </w:r>
    </w:p>
    <w:p w:rsidR="00132247" w:rsidRDefault="00132247" w:rsidP="00132247">
      <w:pPr>
        <w:ind w:firstLine="284"/>
        <w:jc w:val="both"/>
        <w:rPr>
          <w:highlight w:val="yellow"/>
        </w:rPr>
      </w:pPr>
      <w:r>
        <w:rPr>
          <w:color w:val="000000"/>
        </w:rPr>
        <w:t xml:space="preserve">Za uvedeným výrazným poklesom vykonaných ťažieb lykožrúta smrekového a lykožrúta lesklého v porovnaní z predchádzajúcimi rokmi s najväčšou pravdepodobnosťou stojí nesprávne zaevidovanie škodlivého činiteľa ako </w:t>
      </w:r>
      <w:r>
        <w:rPr>
          <w:b/>
          <w:color w:val="000000"/>
        </w:rPr>
        <w:t>Iný podkôrny hmyz</w:t>
      </w:r>
      <w:r>
        <w:rPr>
          <w:color w:val="000000"/>
        </w:rPr>
        <w:t xml:space="preserve">. Nakoľko táto hmota predstavovala obrovské množstvo dreva, ktoré v súčasnosti nedokáže napadnúť žiadny iný </w:t>
      </w:r>
      <w:r>
        <w:t>agresívny druh podkôrneho hmyzu, iba podkôrny hmyz na smreku (najmä l. smrekový a l. lesklý), predpokladáme, že túto hmotu môžeme priradiť k týmto škodcom. Za nesprávne evidovaný údaj považujeme aj množstvo náhodnej nevykonanej ťažby (inak povedané nespracovanej kalamitnej hmoty). V niektorých krajoch táto hmota nebola evidovaná vôbec a napríklad v Prešovskom kraji bolo evidovaných viac ako 500 000 m</w:t>
      </w:r>
      <w:r>
        <w:rPr>
          <w:vertAlign w:val="superscript"/>
        </w:rPr>
        <w:t>3</w:t>
      </w:r>
      <w:r>
        <w:t xml:space="preserve"> nespracovanej drevnej hmoty. Tento údaj je absolútne nepresný, pretože tam bola zarátaná hmota nielen za minulý rok, ale za viac rokov trvania </w:t>
      </w:r>
      <w:proofErr w:type="spellStart"/>
      <w:r>
        <w:t>podkôrnikovej</w:t>
      </w:r>
      <w:proofErr w:type="spellEnd"/>
      <w:r>
        <w:t xml:space="preserve"> kalamity.</w:t>
      </w:r>
    </w:p>
    <w:p w:rsidR="00132247" w:rsidRDefault="00132247" w:rsidP="00132247">
      <w:pPr>
        <w:ind w:firstLine="284"/>
        <w:jc w:val="both"/>
      </w:pPr>
      <w:r>
        <w:rPr>
          <w:b/>
        </w:rPr>
        <w:t>Drevokaz čiarkovaný</w:t>
      </w:r>
      <w:r>
        <w:t xml:space="preserve"> (</w:t>
      </w:r>
      <w:r>
        <w:rPr>
          <w:i/>
        </w:rPr>
        <w:t>Xyloterus lineatus</w:t>
      </w:r>
      <w:r>
        <w:t>), je najvýznamnejší drevokazný hmyzí škodca v našich podmienkach na ihličnatých drevinách, avšak z dostupných údajov vyplýva, že žiadny lesnícky subjekt ho nezaevidoval v roku 2012, čo je obrovská škoda, pretože v roku 2011 spolu napadol 2 908 m</w:t>
      </w:r>
      <w:r>
        <w:rPr>
          <w:vertAlign w:val="superscript"/>
        </w:rPr>
        <w:t>3</w:t>
      </w:r>
      <w:r>
        <w:t xml:space="preserve"> dreva, pričom ostalo nespracovaných 150 m</w:t>
      </w:r>
      <w:r>
        <w:rPr>
          <w:vertAlign w:val="superscript"/>
        </w:rPr>
        <w:t>3</w:t>
      </w:r>
      <w:r>
        <w:t>. Je to mierny nárast napadnutia oproti roku 2010, kedy napadol 2 105 m</w:t>
      </w:r>
      <w:r>
        <w:rPr>
          <w:vertAlign w:val="superscript"/>
        </w:rPr>
        <w:t>3</w:t>
      </w:r>
      <w:r>
        <w:t xml:space="preserve"> a všetka hmota sa podarila spracovať. </w:t>
      </w:r>
    </w:p>
    <w:p w:rsidR="00132247" w:rsidRDefault="00132247" w:rsidP="00132247">
      <w:pPr>
        <w:ind w:firstLine="284"/>
        <w:jc w:val="both"/>
        <w:rPr>
          <w:highlight w:val="yellow"/>
        </w:rPr>
      </w:pPr>
      <w:r>
        <w:rPr>
          <w:b/>
        </w:rPr>
        <w:t>Lykožrútmi na jedli</w:t>
      </w:r>
      <w:r>
        <w:t xml:space="preserve"> bolo spolu napadnutých len 357 m</w:t>
      </w:r>
      <w:r>
        <w:rPr>
          <w:vertAlign w:val="superscript"/>
        </w:rPr>
        <w:t>3</w:t>
      </w:r>
      <w:r>
        <w:t xml:space="preserve"> dreva, čo je výrazne menej ako v predchádzajúcich rokoch (2 290 m</w:t>
      </w:r>
      <w:r>
        <w:rPr>
          <w:vertAlign w:val="superscript"/>
        </w:rPr>
        <w:t>3</w:t>
      </w:r>
      <w:r>
        <w:t xml:space="preserve"> v roku 2011 a 1 099 m</w:t>
      </w:r>
      <w:r>
        <w:rPr>
          <w:vertAlign w:val="superscript"/>
        </w:rPr>
        <w:t>3</w:t>
      </w:r>
      <w:r>
        <w:t xml:space="preserve"> v roku 2012), pričom celý objem sa podarilo spracovať.</w:t>
      </w:r>
      <w:r>
        <w:rPr>
          <w:highlight w:val="yellow"/>
        </w:rPr>
        <w:t xml:space="preserve"> </w:t>
      </w:r>
    </w:p>
    <w:p w:rsidR="00132247" w:rsidRDefault="00132247" w:rsidP="00132247">
      <w:pPr>
        <w:ind w:firstLine="284"/>
        <w:jc w:val="both"/>
        <w:rPr>
          <w:highlight w:val="yellow"/>
        </w:rPr>
      </w:pPr>
      <w:r>
        <w:rPr>
          <w:b/>
        </w:rPr>
        <w:t>Podkôrny hmyz na borovici</w:t>
      </w:r>
      <w:r>
        <w:t xml:space="preserve"> napadol celkovo viac ako 13,5 tis. m</w:t>
      </w:r>
      <w:r>
        <w:rPr>
          <w:vertAlign w:val="superscript"/>
        </w:rPr>
        <w:t>3</w:t>
      </w:r>
      <w:r>
        <w:t xml:space="preserve"> borovicovej hmoty, čo je takmer päťnásobne viac ako v predchádzajúcom roku, kedy bolo napadnutých len 2 839 m</w:t>
      </w:r>
      <w:r>
        <w:rPr>
          <w:vertAlign w:val="superscript"/>
        </w:rPr>
        <w:t>3</w:t>
      </w:r>
      <w:r>
        <w:t xml:space="preserve"> a v roku 2011 napadol len 1 373 m</w:t>
      </w:r>
      <w:r>
        <w:rPr>
          <w:vertAlign w:val="superscript"/>
        </w:rPr>
        <w:t>3</w:t>
      </w:r>
      <w:r>
        <w:t xml:space="preserve"> hmoty. Podľa evidencie sa celá hmota podarila spracovať. LOS eviduje enormne zvýšený výskyt hynutia borovíc najmä v oblasti Záhoria, kde primárnymi spúšťačmi bolo pravdepodobne sucho, kolísanie hladiny podzemnej vody a celkové fyziologické oslabenie jedincov borovíc, na ktorých sa množí viacero druhov podkôrneho hmyzu, najmä lykožrút borovicový </w:t>
      </w:r>
      <w:r>
        <w:rPr>
          <w:i/>
        </w:rPr>
        <w:t>Ips sexdentatus</w:t>
      </w:r>
      <w:r>
        <w:t xml:space="preserve">, lykožrút vrcholcový </w:t>
      </w:r>
      <w:r>
        <w:rPr>
          <w:i/>
        </w:rPr>
        <w:t>Ips acuminatus</w:t>
      </w:r>
      <w:r>
        <w:t xml:space="preserve">, lykokazy rodu </w:t>
      </w:r>
      <w:r>
        <w:rPr>
          <w:i/>
        </w:rPr>
        <w:t xml:space="preserve">Tomicus </w:t>
      </w:r>
      <w:r>
        <w:t>a krasoň modrý (</w:t>
      </w:r>
      <w:proofErr w:type="spellStart"/>
      <w:r>
        <w:rPr>
          <w:i/>
        </w:rPr>
        <w:t>Phaenops</w:t>
      </w:r>
      <w:proofErr w:type="spellEnd"/>
      <w:r>
        <w:rPr>
          <w:i/>
        </w:rPr>
        <w:t xml:space="preserve"> </w:t>
      </w:r>
      <w:proofErr w:type="spellStart"/>
      <w:r>
        <w:rPr>
          <w:i/>
        </w:rPr>
        <w:t>cyanea</w:t>
      </w:r>
      <w:proofErr w:type="spellEnd"/>
      <w:r>
        <w:t>). Iný typ hynutia borovíc sa vyskytol v roku 2012 najmä v okolí Krupiny, Zvolena a Partizánskeho, kde to majú na svedomí najmä hubové patogény, pričom veľmi silno je poškodzovaná aj borovica čierna. Na takto oslabených jedincoch sa taktiež namnožuje podkôrny hmyz. V roku 2013 očakávame ďalší nárast vykonanej náhodnej ťažby borovíc , najmä z oblasti Záhoria. Napadnutú hmotu je nevyhnutné okamžite spracovať a asanovať. Z obranných opatrení boli a sú zakladané najmä lapáky a feromónové lapače navnadené komerčnými, ako aj pokusnými odparníkmi v oblasti Záhoria.</w:t>
      </w:r>
    </w:p>
    <w:p w:rsidR="00132247" w:rsidRDefault="00132247" w:rsidP="00132247">
      <w:pPr>
        <w:ind w:firstLine="284"/>
        <w:jc w:val="both"/>
      </w:pPr>
      <w:r>
        <w:rPr>
          <w:b/>
        </w:rPr>
        <w:t>Lykožrút smrekovcový</w:t>
      </w:r>
      <w:r>
        <w:t xml:space="preserve"> (</w:t>
      </w:r>
      <w:r>
        <w:rPr>
          <w:i/>
        </w:rPr>
        <w:t>Ips cembrae</w:t>
      </w:r>
      <w:r>
        <w:t>) celkovo napadol na Slovensku len niečo cez 700 m</w:t>
      </w:r>
      <w:r>
        <w:rPr>
          <w:vertAlign w:val="superscript"/>
        </w:rPr>
        <w:t>3</w:t>
      </w:r>
      <w:r>
        <w:t>, pričom celá hmota sa podarila spracovať. Je to pokles oproti predchádzajúcim rokom, kedy bolo v roku 2012 napadnutých 1 208 m</w:t>
      </w:r>
      <w:r>
        <w:rPr>
          <w:vertAlign w:val="superscript"/>
        </w:rPr>
        <w:t>3</w:t>
      </w:r>
      <w:r>
        <w:t xml:space="preserve"> a v roku 2011 to bolo 1 482 m</w:t>
      </w:r>
      <w:r>
        <w:rPr>
          <w:vertAlign w:val="superscript"/>
        </w:rPr>
        <w:t>3</w:t>
      </w:r>
      <w:r>
        <w:t xml:space="preserve">. Sledujeme, že </w:t>
      </w:r>
      <w:r>
        <w:lastRenderedPageBreak/>
        <w:t xml:space="preserve">v rôznych častiach Slovenska sa napriek priaznivému stavu vyskytujú smrekovcové chrobačiare, ktoré taktiež často napáda aj fuzáč smrekovcový </w:t>
      </w:r>
      <w:r>
        <w:rPr>
          <w:i/>
        </w:rPr>
        <w:t>Tetropium gabrieli</w:t>
      </w:r>
      <w:r>
        <w:t>. Vznikajúce chrobačiare treba sledovať a ich zvýšený výskyt hlásiť na LOS.</w:t>
      </w:r>
    </w:p>
    <w:p w:rsidR="00132247" w:rsidRDefault="00132247" w:rsidP="00132247">
      <w:pPr>
        <w:ind w:firstLine="284"/>
        <w:jc w:val="both"/>
      </w:pPr>
      <w:r>
        <w:rPr>
          <w:b/>
        </w:rPr>
        <w:t>Podkôrnik dubový</w:t>
      </w:r>
      <w:r>
        <w:t xml:space="preserve"> (</w:t>
      </w:r>
      <w:r>
        <w:rPr>
          <w:i/>
        </w:rPr>
        <w:t>Scolytus intricatus</w:t>
      </w:r>
      <w:r>
        <w:t>) napadol celkovo na Slovensku len 534 m</w:t>
      </w:r>
      <w:r>
        <w:rPr>
          <w:vertAlign w:val="superscript"/>
        </w:rPr>
        <w:t>3</w:t>
      </w:r>
      <w:r>
        <w:t xml:space="preserve"> dubovej hmoty, ktorá sa aj celá podarila spracovať. Je to výrazný pokles oproti predchádzajúcemu roku, kedy bolo napadnutých až 5 791 m</w:t>
      </w:r>
      <w:r>
        <w:rPr>
          <w:vertAlign w:val="superscript"/>
        </w:rPr>
        <w:t>3</w:t>
      </w:r>
      <w:r>
        <w:t xml:space="preserve"> dubovej hmoty. Na tohto podkôrnika sa v apríli zakladajú lapáky na stojato, ktoré veľmi dobre lákajú tohto škodcu, avšak čo je rozhodujúce, je potrebné ich spracovať ešte v lete toho roku. Momentálne je situácia ohľadom populácie podkôrnika dubového podľa týchto údajov priaznivá, avšak neustále pripomíname dodržiavať v dubových porastoch, ako aj inde, prísnu porastovú hygienu.</w:t>
      </w:r>
    </w:p>
    <w:p w:rsidR="00446EAB" w:rsidRDefault="00446EAB"/>
    <w:p w:rsidR="003D7659" w:rsidRDefault="003D7659" w:rsidP="003D7659">
      <w:pPr>
        <w:spacing w:before="0"/>
        <w:rPr>
          <w:bCs/>
          <w:spacing w:val="20"/>
          <w:sz w:val="22"/>
        </w:rPr>
      </w:pPr>
    </w:p>
    <w:p w:rsidR="003D7659" w:rsidRDefault="003D7659" w:rsidP="003D7659">
      <w:pPr>
        <w:spacing w:before="0"/>
        <w:rPr>
          <w:bCs/>
          <w:spacing w:val="20"/>
          <w:sz w:val="22"/>
        </w:rPr>
      </w:pPr>
      <w:r>
        <w:rPr>
          <w:noProof/>
          <w:spacing w:val="20"/>
          <w:sz w:val="22"/>
        </w:rPr>
        <w:drawing>
          <wp:inline distT="0" distB="0" distL="0" distR="0">
            <wp:extent cx="4674235" cy="3316605"/>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4235" cy="3316605"/>
                    </a:xfrm>
                    <a:prstGeom prst="rect">
                      <a:avLst/>
                    </a:prstGeom>
                    <a:noFill/>
                    <a:ln>
                      <a:noFill/>
                    </a:ln>
                  </pic:spPr>
                </pic:pic>
              </a:graphicData>
            </a:graphic>
          </wp:inline>
        </w:drawing>
      </w:r>
    </w:p>
    <w:p w:rsidR="003D7659" w:rsidRDefault="003D7659" w:rsidP="003D7659">
      <w:pPr>
        <w:jc w:val="center"/>
      </w:pPr>
      <w:r>
        <w:t xml:space="preserve">Obrázok </w:t>
      </w:r>
      <w:r>
        <w:fldChar w:fldCharType="begin"/>
      </w:r>
      <w:r>
        <w:instrText xml:space="preserve"> SEQ Obrázok \* ARABIC </w:instrText>
      </w:r>
      <w:r>
        <w:fldChar w:fldCharType="separate"/>
      </w:r>
      <w:r>
        <w:rPr>
          <w:noProof/>
        </w:rPr>
        <w:t>19</w:t>
      </w:r>
      <w:r>
        <w:rPr>
          <w:noProof/>
        </w:rPr>
        <w:fldChar w:fldCharType="end"/>
      </w:r>
      <w:r>
        <w:t xml:space="preserve">.Objem vykonanej náhodnej ťažby spôsobenej podkôrnym a drevokazným hmyzom v roku 2012 </w:t>
      </w:r>
    </w:p>
    <w:p w:rsidR="003D7659" w:rsidRDefault="003D7659" w:rsidP="003D7659">
      <w:pPr>
        <w:spacing w:before="0"/>
        <w:rPr>
          <w:bCs/>
          <w:spacing w:val="20"/>
          <w:sz w:val="22"/>
        </w:rPr>
      </w:pPr>
    </w:p>
    <w:p w:rsidR="003D7659" w:rsidRDefault="003D7659" w:rsidP="003D7659">
      <w:pPr>
        <w:spacing w:before="0"/>
        <w:rPr>
          <w:bCs/>
          <w:spacing w:val="20"/>
          <w:sz w:val="22"/>
        </w:rPr>
      </w:pPr>
      <w:r>
        <w:rPr>
          <w:noProof/>
          <w:spacing w:val="20"/>
          <w:sz w:val="22"/>
        </w:rPr>
        <w:lastRenderedPageBreak/>
        <w:drawing>
          <wp:inline distT="0" distB="0" distL="0" distR="0">
            <wp:extent cx="4578985" cy="339852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8985" cy="3398520"/>
                    </a:xfrm>
                    <a:prstGeom prst="rect">
                      <a:avLst/>
                    </a:prstGeom>
                    <a:noFill/>
                    <a:ln>
                      <a:noFill/>
                    </a:ln>
                  </pic:spPr>
                </pic:pic>
              </a:graphicData>
            </a:graphic>
          </wp:inline>
        </w:drawing>
      </w:r>
    </w:p>
    <w:p w:rsidR="003D7659" w:rsidRDefault="003D7659" w:rsidP="003D7659">
      <w:pPr>
        <w:spacing w:before="0"/>
        <w:rPr>
          <w:bCs/>
          <w:spacing w:val="20"/>
          <w:sz w:val="22"/>
        </w:rPr>
      </w:pPr>
    </w:p>
    <w:p w:rsidR="003D7659" w:rsidRDefault="003D7659" w:rsidP="003D7659">
      <w:pPr>
        <w:jc w:val="center"/>
      </w:pPr>
      <w:r>
        <w:t xml:space="preserve">Obrázok </w:t>
      </w:r>
      <w:r>
        <w:fldChar w:fldCharType="begin"/>
      </w:r>
      <w:r>
        <w:instrText xml:space="preserve"> SEQ Obrázok \* ARABIC </w:instrText>
      </w:r>
      <w:r>
        <w:fldChar w:fldCharType="separate"/>
      </w:r>
      <w:r>
        <w:rPr>
          <w:noProof/>
        </w:rPr>
        <w:t>20</w:t>
      </w:r>
      <w:r>
        <w:rPr>
          <w:noProof/>
        </w:rPr>
        <w:fldChar w:fldCharType="end"/>
      </w:r>
      <w:r>
        <w:t xml:space="preserve">.Objem nevykonanej náhodnej ťažby spôsobenej podkôrnym a drevokazným hmyzom v roku 2012 </w:t>
      </w:r>
    </w:p>
    <w:p w:rsidR="003D7659" w:rsidRDefault="003D7659" w:rsidP="003D7659">
      <w:pPr>
        <w:spacing w:before="0"/>
        <w:rPr>
          <w:bCs/>
          <w:noProof/>
          <w:spacing w:val="20"/>
          <w:sz w:val="22"/>
        </w:rPr>
      </w:pPr>
    </w:p>
    <w:p w:rsidR="003D7659" w:rsidRDefault="003D7659" w:rsidP="003D7659">
      <w:pPr>
        <w:spacing w:before="0"/>
        <w:rPr>
          <w:bCs/>
          <w:spacing w:val="20"/>
          <w:sz w:val="22"/>
        </w:rPr>
      </w:pPr>
      <w:r>
        <w:rPr>
          <w:noProof/>
          <w:spacing w:val="20"/>
          <w:sz w:val="22"/>
        </w:rPr>
        <w:drawing>
          <wp:inline distT="0" distB="0" distL="0" distR="0">
            <wp:extent cx="4578985" cy="339852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8985" cy="3398520"/>
                    </a:xfrm>
                    <a:prstGeom prst="rect">
                      <a:avLst/>
                    </a:prstGeom>
                    <a:noFill/>
                    <a:ln>
                      <a:noFill/>
                    </a:ln>
                  </pic:spPr>
                </pic:pic>
              </a:graphicData>
            </a:graphic>
          </wp:inline>
        </w:drawing>
      </w:r>
    </w:p>
    <w:p w:rsidR="003D7659" w:rsidRDefault="003D7659" w:rsidP="003D7659">
      <w:pPr>
        <w:spacing w:before="0"/>
        <w:jc w:val="center"/>
        <w:rPr>
          <w:bCs/>
          <w:spacing w:val="20"/>
          <w:sz w:val="22"/>
        </w:rPr>
      </w:pPr>
      <w:r>
        <w:t xml:space="preserve">Obrázok </w:t>
      </w:r>
      <w:r>
        <w:fldChar w:fldCharType="begin"/>
      </w:r>
      <w:r>
        <w:instrText xml:space="preserve"> SEQ Obrázok \* ARABIC </w:instrText>
      </w:r>
      <w:r>
        <w:fldChar w:fldCharType="separate"/>
      </w:r>
      <w:r>
        <w:rPr>
          <w:noProof/>
        </w:rPr>
        <w:t>21</w:t>
      </w:r>
      <w:r>
        <w:rPr>
          <w:noProof/>
        </w:rPr>
        <w:fldChar w:fldCharType="end"/>
      </w:r>
      <w:r>
        <w:t>.Objem vykonanej náhodnej ťažby s ponechaním dreva v poraste spôsobenej podkôrnym a drevokazným hmyzom v roku 2012</w:t>
      </w:r>
    </w:p>
    <w:p w:rsidR="003D7659" w:rsidRDefault="003D7659" w:rsidP="003D7659">
      <w:pPr>
        <w:spacing w:before="0"/>
        <w:rPr>
          <w:bCs/>
          <w:spacing w:val="20"/>
          <w:sz w:val="22"/>
        </w:rPr>
      </w:pPr>
    </w:p>
    <w:p w:rsidR="003D7659" w:rsidRDefault="003D7659" w:rsidP="003D7659">
      <w:pPr>
        <w:spacing w:before="0"/>
        <w:rPr>
          <w:bCs/>
          <w:spacing w:val="20"/>
          <w:sz w:val="22"/>
        </w:rPr>
      </w:pPr>
    </w:p>
    <w:p w:rsidR="003D7659" w:rsidRDefault="003D7659" w:rsidP="003D7659">
      <w:pPr>
        <w:spacing w:before="0"/>
        <w:rPr>
          <w:bCs/>
          <w:spacing w:val="20"/>
          <w:sz w:val="22"/>
        </w:rPr>
      </w:pPr>
    </w:p>
    <w:p w:rsidR="003D7659" w:rsidRDefault="003D7659" w:rsidP="003D7659">
      <w:pPr>
        <w:pStyle w:val="Popis"/>
      </w:pPr>
    </w:p>
    <w:p w:rsidR="003D7659" w:rsidRDefault="003D7659" w:rsidP="003D7659">
      <w:pPr>
        <w:pStyle w:val="Popis"/>
      </w:pPr>
      <w:r>
        <w:lastRenderedPageBreak/>
        <w:t xml:space="preserve">Tabuľka </w:t>
      </w:r>
      <w:r>
        <w:fldChar w:fldCharType="begin"/>
      </w:r>
      <w:r>
        <w:instrText xml:space="preserve"> SEQ Tabuľka \* ARABIC </w:instrText>
      </w:r>
      <w:r>
        <w:fldChar w:fldCharType="separate"/>
      </w:r>
      <w:r>
        <w:rPr>
          <w:noProof/>
        </w:rPr>
        <w:t>6</w:t>
      </w:r>
      <w:r>
        <w:rPr>
          <w:noProof/>
        </w:rPr>
        <w:fldChar w:fldCharType="end"/>
      </w:r>
      <w:r>
        <w:t>. Objem vykonanej náhodnej ťažby poškodenej podkôrnym a drevokazným hmyzom v roku 2012</w:t>
      </w:r>
    </w:p>
    <w:p w:rsidR="003D7659" w:rsidRDefault="003D7659" w:rsidP="003D76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0"/>
        <w:gridCol w:w="1540"/>
        <w:gridCol w:w="1540"/>
        <w:gridCol w:w="1542"/>
      </w:tblGrid>
      <w:tr w:rsidR="003D7659" w:rsidTr="003D7659">
        <w:trPr>
          <w:trHeight w:val="300"/>
        </w:trPr>
        <w:tc>
          <w:tcPr>
            <w:tcW w:w="2491" w:type="pct"/>
            <w:vMerge w:val="restart"/>
            <w:tcBorders>
              <w:top w:val="single" w:sz="4" w:space="0" w:color="auto"/>
              <w:left w:val="single" w:sz="4" w:space="0" w:color="auto"/>
              <w:bottom w:val="single" w:sz="4" w:space="0" w:color="auto"/>
              <w:right w:val="single" w:sz="4" w:space="0" w:color="auto"/>
            </w:tcBorders>
            <w:noWrap/>
            <w:vAlign w:val="center"/>
            <w:hideMark/>
          </w:tcPr>
          <w:p w:rsidR="003D7659" w:rsidRDefault="003D7659">
            <w:pPr>
              <w:jc w:val="center"/>
              <w:rPr>
                <w:rFonts w:ascii="Calibri" w:hAnsi="Calibri"/>
                <w:b/>
                <w:bCs/>
                <w:sz w:val="22"/>
                <w:szCs w:val="22"/>
              </w:rPr>
            </w:pPr>
            <w:r>
              <w:rPr>
                <w:rFonts w:ascii="Calibri" w:hAnsi="Calibri"/>
                <w:b/>
                <w:bCs/>
                <w:sz w:val="22"/>
                <w:szCs w:val="22"/>
              </w:rPr>
              <w:t>KRAJ</w:t>
            </w:r>
          </w:p>
        </w:tc>
        <w:tc>
          <w:tcPr>
            <w:tcW w:w="836" w:type="pct"/>
            <w:tcBorders>
              <w:top w:val="single" w:sz="4" w:space="0" w:color="auto"/>
              <w:left w:val="single" w:sz="4" w:space="0" w:color="auto"/>
              <w:bottom w:val="single" w:sz="4" w:space="0" w:color="auto"/>
              <w:right w:val="single" w:sz="4" w:space="0" w:color="auto"/>
            </w:tcBorders>
            <w:noWrap/>
            <w:vAlign w:val="center"/>
            <w:hideMark/>
          </w:tcPr>
          <w:p w:rsidR="003D7659" w:rsidRDefault="003D7659">
            <w:pPr>
              <w:jc w:val="center"/>
              <w:rPr>
                <w:rFonts w:ascii="Calibri" w:hAnsi="Calibri"/>
                <w:b/>
                <w:bCs/>
                <w:sz w:val="22"/>
                <w:szCs w:val="22"/>
              </w:rPr>
            </w:pPr>
            <w:r>
              <w:rPr>
                <w:rFonts w:ascii="Calibri" w:hAnsi="Calibri"/>
                <w:b/>
                <w:bCs/>
                <w:sz w:val="22"/>
                <w:szCs w:val="22"/>
              </w:rPr>
              <w:t>Ihličnaté</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center"/>
              <w:rPr>
                <w:rFonts w:ascii="Calibri" w:hAnsi="Calibri"/>
                <w:b/>
                <w:bCs/>
                <w:sz w:val="22"/>
                <w:szCs w:val="22"/>
              </w:rPr>
            </w:pPr>
            <w:r>
              <w:rPr>
                <w:rFonts w:ascii="Calibri" w:hAnsi="Calibri"/>
                <w:b/>
                <w:bCs/>
                <w:sz w:val="22"/>
                <w:szCs w:val="22"/>
              </w:rPr>
              <w:t>Listnaté</w:t>
            </w:r>
          </w:p>
        </w:tc>
        <w:tc>
          <w:tcPr>
            <w:tcW w:w="837"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center"/>
              <w:rPr>
                <w:rFonts w:ascii="Calibri" w:hAnsi="Calibri"/>
                <w:b/>
                <w:bCs/>
                <w:sz w:val="22"/>
                <w:szCs w:val="22"/>
              </w:rPr>
            </w:pPr>
            <w:r>
              <w:rPr>
                <w:rFonts w:ascii="Calibri" w:hAnsi="Calibri"/>
                <w:b/>
                <w:bCs/>
                <w:sz w:val="22"/>
                <w:szCs w:val="22"/>
              </w:rPr>
              <w:t>Spolu</w:t>
            </w:r>
          </w:p>
        </w:tc>
      </w:tr>
      <w:tr w:rsidR="003D7659" w:rsidTr="003D765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7659" w:rsidRDefault="003D7659">
            <w:pPr>
              <w:spacing w:before="0"/>
              <w:rPr>
                <w:rFonts w:ascii="Calibri" w:hAnsi="Calibri"/>
                <w:b/>
                <w:bCs/>
                <w:sz w:val="22"/>
                <w:szCs w:val="22"/>
              </w:rPr>
            </w:pPr>
          </w:p>
        </w:tc>
        <w:tc>
          <w:tcPr>
            <w:tcW w:w="2509" w:type="pct"/>
            <w:gridSpan w:val="3"/>
            <w:tcBorders>
              <w:top w:val="single" w:sz="4" w:space="0" w:color="auto"/>
              <w:left w:val="single" w:sz="4" w:space="0" w:color="auto"/>
              <w:bottom w:val="single" w:sz="4" w:space="0" w:color="auto"/>
              <w:right w:val="single" w:sz="4" w:space="0" w:color="auto"/>
            </w:tcBorders>
            <w:noWrap/>
            <w:vAlign w:val="center"/>
            <w:hideMark/>
          </w:tcPr>
          <w:p w:rsidR="003D7659" w:rsidRDefault="003D7659">
            <w:pPr>
              <w:jc w:val="center"/>
              <w:rPr>
                <w:rFonts w:ascii="Calibri" w:hAnsi="Calibri"/>
                <w:sz w:val="22"/>
                <w:szCs w:val="22"/>
              </w:rPr>
            </w:pPr>
            <w:r>
              <w:rPr>
                <w:rFonts w:ascii="Calibri" w:hAnsi="Calibri"/>
                <w:sz w:val="22"/>
                <w:szCs w:val="22"/>
                <w:lang w:val="en-US"/>
              </w:rPr>
              <w:t>[m</w:t>
            </w:r>
            <w:r>
              <w:rPr>
                <w:rFonts w:ascii="Calibri" w:hAnsi="Calibri"/>
                <w:sz w:val="22"/>
                <w:szCs w:val="22"/>
                <w:vertAlign w:val="superscript"/>
                <w:lang w:val="en-US"/>
              </w:rPr>
              <w:t>3</w:t>
            </w:r>
            <w:r>
              <w:rPr>
                <w:rFonts w:ascii="Calibri" w:hAnsi="Calibri"/>
                <w:sz w:val="22"/>
                <w:szCs w:val="22"/>
                <w:lang w:val="en-US"/>
              </w:rPr>
              <w:t>]</w:t>
            </w:r>
          </w:p>
        </w:tc>
      </w:tr>
      <w:tr w:rsidR="003D7659" w:rsidTr="003D7659">
        <w:trPr>
          <w:trHeight w:val="300"/>
        </w:trPr>
        <w:tc>
          <w:tcPr>
            <w:tcW w:w="2491"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rPr>
                <w:rFonts w:ascii="Calibri" w:hAnsi="Calibri"/>
                <w:sz w:val="22"/>
                <w:szCs w:val="22"/>
              </w:rPr>
            </w:pPr>
            <w:r>
              <w:rPr>
                <w:rFonts w:ascii="Calibri" w:hAnsi="Calibri"/>
                <w:sz w:val="22"/>
                <w:szCs w:val="22"/>
              </w:rPr>
              <w:t>Banskobystrický</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309 920</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1 314</w:t>
            </w:r>
          </w:p>
        </w:tc>
        <w:tc>
          <w:tcPr>
            <w:tcW w:w="837"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311 234</w:t>
            </w:r>
          </w:p>
        </w:tc>
      </w:tr>
      <w:tr w:rsidR="003D7659" w:rsidTr="003D7659">
        <w:trPr>
          <w:trHeight w:val="300"/>
        </w:trPr>
        <w:tc>
          <w:tcPr>
            <w:tcW w:w="2491"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rPr>
                <w:rFonts w:ascii="Calibri" w:hAnsi="Calibri"/>
                <w:sz w:val="22"/>
                <w:szCs w:val="22"/>
              </w:rPr>
            </w:pPr>
            <w:r>
              <w:rPr>
                <w:rFonts w:ascii="Calibri" w:hAnsi="Calibri"/>
                <w:sz w:val="22"/>
                <w:szCs w:val="22"/>
              </w:rPr>
              <w:t>Bratislavský</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12 433</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541</w:t>
            </w:r>
          </w:p>
        </w:tc>
        <w:tc>
          <w:tcPr>
            <w:tcW w:w="837"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12 974</w:t>
            </w:r>
          </w:p>
        </w:tc>
      </w:tr>
      <w:tr w:rsidR="003D7659" w:rsidTr="003D7659">
        <w:trPr>
          <w:trHeight w:val="300"/>
        </w:trPr>
        <w:tc>
          <w:tcPr>
            <w:tcW w:w="2491"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rPr>
                <w:rFonts w:ascii="Calibri" w:hAnsi="Calibri"/>
                <w:sz w:val="22"/>
                <w:szCs w:val="22"/>
              </w:rPr>
            </w:pPr>
            <w:r>
              <w:rPr>
                <w:rFonts w:ascii="Calibri" w:hAnsi="Calibri"/>
                <w:sz w:val="22"/>
                <w:szCs w:val="22"/>
              </w:rPr>
              <w:t>Košický</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290 358</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602</w:t>
            </w:r>
          </w:p>
        </w:tc>
        <w:tc>
          <w:tcPr>
            <w:tcW w:w="837"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290 960</w:t>
            </w:r>
          </w:p>
        </w:tc>
      </w:tr>
      <w:tr w:rsidR="003D7659" w:rsidTr="003D7659">
        <w:trPr>
          <w:trHeight w:val="300"/>
        </w:trPr>
        <w:tc>
          <w:tcPr>
            <w:tcW w:w="2491"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rPr>
                <w:rFonts w:ascii="Calibri" w:hAnsi="Calibri"/>
                <w:sz w:val="22"/>
                <w:szCs w:val="22"/>
              </w:rPr>
            </w:pPr>
            <w:r>
              <w:rPr>
                <w:rFonts w:ascii="Calibri" w:hAnsi="Calibri"/>
                <w:sz w:val="22"/>
                <w:szCs w:val="22"/>
              </w:rPr>
              <w:t>Nitriansky</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2 105</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470</w:t>
            </w:r>
          </w:p>
        </w:tc>
        <w:tc>
          <w:tcPr>
            <w:tcW w:w="837"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2 575</w:t>
            </w:r>
          </w:p>
        </w:tc>
      </w:tr>
      <w:tr w:rsidR="003D7659" w:rsidTr="003D7659">
        <w:trPr>
          <w:trHeight w:val="300"/>
        </w:trPr>
        <w:tc>
          <w:tcPr>
            <w:tcW w:w="2491"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rPr>
                <w:rFonts w:ascii="Calibri" w:hAnsi="Calibri"/>
                <w:sz w:val="22"/>
                <w:szCs w:val="22"/>
              </w:rPr>
            </w:pPr>
            <w:r>
              <w:rPr>
                <w:rFonts w:ascii="Calibri" w:hAnsi="Calibri"/>
                <w:sz w:val="22"/>
                <w:szCs w:val="22"/>
              </w:rPr>
              <w:t>Prešovský</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402 686</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491</w:t>
            </w:r>
          </w:p>
        </w:tc>
        <w:tc>
          <w:tcPr>
            <w:tcW w:w="837"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403 177</w:t>
            </w:r>
          </w:p>
        </w:tc>
      </w:tr>
      <w:tr w:rsidR="003D7659" w:rsidTr="003D7659">
        <w:trPr>
          <w:trHeight w:val="300"/>
        </w:trPr>
        <w:tc>
          <w:tcPr>
            <w:tcW w:w="2491"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rPr>
                <w:rFonts w:ascii="Calibri" w:hAnsi="Calibri"/>
                <w:sz w:val="22"/>
                <w:szCs w:val="22"/>
              </w:rPr>
            </w:pPr>
            <w:r>
              <w:rPr>
                <w:rFonts w:ascii="Calibri" w:hAnsi="Calibri"/>
                <w:sz w:val="22"/>
                <w:szCs w:val="22"/>
              </w:rPr>
              <w:t>Trenčiansky</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44 801</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1 491</w:t>
            </w:r>
          </w:p>
        </w:tc>
        <w:tc>
          <w:tcPr>
            <w:tcW w:w="837"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46 292</w:t>
            </w:r>
          </w:p>
        </w:tc>
      </w:tr>
      <w:tr w:rsidR="003D7659" w:rsidTr="003D7659">
        <w:trPr>
          <w:trHeight w:val="300"/>
        </w:trPr>
        <w:tc>
          <w:tcPr>
            <w:tcW w:w="2491"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rPr>
                <w:rFonts w:ascii="Calibri" w:hAnsi="Calibri"/>
                <w:sz w:val="22"/>
                <w:szCs w:val="22"/>
              </w:rPr>
            </w:pPr>
            <w:r>
              <w:rPr>
                <w:rFonts w:ascii="Calibri" w:hAnsi="Calibri"/>
                <w:sz w:val="22"/>
                <w:szCs w:val="22"/>
              </w:rPr>
              <w:t>Trnavský</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344</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9</w:t>
            </w:r>
          </w:p>
        </w:tc>
        <w:tc>
          <w:tcPr>
            <w:tcW w:w="837"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353</w:t>
            </w:r>
          </w:p>
        </w:tc>
      </w:tr>
      <w:tr w:rsidR="003D7659" w:rsidTr="003D7659">
        <w:trPr>
          <w:trHeight w:val="300"/>
        </w:trPr>
        <w:tc>
          <w:tcPr>
            <w:tcW w:w="2491"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rPr>
                <w:rFonts w:ascii="Calibri" w:hAnsi="Calibri"/>
                <w:sz w:val="22"/>
                <w:szCs w:val="22"/>
              </w:rPr>
            </w:pPr>
            <w:r>
              <w:rPr>
                <w:rFonts w:ascii="Calibri" w:hAnsi="Calibri"/>
                <w:sz w:val="22"/>
                <w:szCs w:val="22"/>
              </w:rPr>
              <w:t>Žilinský</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809 960</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953</w:t>
            </w:r>
          </w:p>
        </w:tc>
        <w:tc>
          <w:tcPr>
            <w:tcW w:w="837" w:type="pct"/>
            <w:tcBorders>
              <w:top w:val="single" w:sz="4" w:space="0" w:color="auto"/>
              <w:left w:val="single" w:sz="4" w:space="0" w:color="auto"/>
              <w:bottom w:val="single" w:sz="4" w:space="0" w:color="auto"/>
              <w:right w:val="single" w:sz="4" w:space="0" w:color="auto"/>
            </w:tcBorders>
            <w:noWrap/>
            <w:vAlign w:val="bottom"/>
            <w:hideMark/>
          </w:tcPr>
          <w:p w:rsidR="003D7659" w:rsidRDefault="003D7659">
            <w:pPr>
              <w:jc w:val="right"/>
              <w:rPr>
                <w:rFonts w:ascii="Calibri" w:hAnsi="Calibri"/>
                <w:sz w:val="22"/>
                <w:szCs w:val="22"/>
              </w:rPr>
            </w:pPr>
            <w:r>
              <w:rPr>
                <w:rFonts w:ascii="Calibri" w:hAnsi="Calibri"/>
                <w:sz w:val="22"/>
                <w:szCs w:val="22"/>
              </w:rPr>
              <w:t>810 913</w:t>
            </w:r>
          </w:p>
        </w:tc>
      </w:tr>
    </w:tbl>
    <w:p w:rsidR="003D7659" w:rsidRDefault="003D7659" w:rsidP="003D7659">
      <w:pPr>
        <w:ind w:left="709"/>
      </w:pPr>
    </w:p>
    <w:p w:rsidR="003D7659" w:rsidRDefault="003D7659" w:rsidP="003D7659">
      <w:pPr>
        <w:ind w:left="709"/>
      </w:pPr>
    </w:p>
    <w:p w:rsidR="003D7659" w:rsidRDefault="003D7659" w:rsidP="003D7659">
      <w:r>
        <w:rPr>
          <w:noProof/>
        </w:rPr>
        <w:drawing>
          <wp:inline distT="0" distB="0" distL="0" distR="0">
            <wp:extent cx="5759450" cy="2845435"/>
            <wp:effectExtent l="0" t="0" r="0" b="0"/>
            <wp:docPr id="4" name="Obrázok 4" descr="Popis: PDH spracované ihličnaté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6" descr="Popis: PDH spracované ihličnaté 20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845435"/>
                    </a:xfrm>
                    <a:prstGeom prst="rect">
                      <a:avLst/>
                    </a:prstGeom>
                    <a:noFill/>
                    <a:ln>
                      <a:noFill/>
                    </a:ln>
                  </pic:spPr>
                </pic:pic>
              </a:graphicData>
            </a:graphic>
          </wp:inline>
        </w:drawing>
      </w:r>
    </w:p>
    <w:p w:rsidR="003D7659" w:rsidRDefault="003D7659" w:rsidP="003D7659"/>
    <w:p w:rsidR="003D7659" w:rsidRDefault="003D7659" w:rsidP="003D7659"/>
    <w:p w:rsidR="003D7659" w:rsidRDefault="003D7659" w:rsidP="003D7659">
      <w:pPr>
        <w:pStyle w:val="Popis"/>
        <w:jc w:val="center"/>
      </w:pPr>
      <w:r>
        <w:t xml:space="preserve">Obrázok </w:t>
      </w:r>
      <w:r>
        <w:fldChar w:fldCharType="begin"/>
      </w:r>
      <w:r>
        <w:instrText xml:space="preserve"> SEQ Obrázok \* ARABIC </w:instrText>
      </w:r>
      <w:r>
        <w:fldChar w:fldCharType="separate"/>
      </w:r>
      <w:r>
        <w:rPr>
          <w:noProof/>
        </w:rPr>
        <w:t>22</w:t>
      </w:r>
      <w:r>
        <w:rPr>
          <w:noProof/>
        </w:rPr>
        <w:fldChar w:fldCharType="end"/>
      </w:r>
      <w:r>
        <w:t>. Náhodná vykonaná ťažba ihličnatých drevín poškodených podkôrnym a drevokazným hmyzom v roku 2012</w:t>
      </w:r>
    </w:p>
    <w:p w:rsidR="003D7659" w:rsidRDefault="003D7659" w:rsidP="003D7659">
      <w:r>
        <w:br w:type="page"/>
      </w:r>
      <w:r>
        <w:rPr>
          <w:noProof/>
        </w:rPr>
        <w:lastRenderedPageBreak/>
        <w:drawing>
          <wp:inline distT="0" distB="0" distL="0" distR="0">
            <wp:extent cx="5759450" cy="2845435"/>
            <wp:effectExtent l="0" t="0" r="0" b="0"/>
            <wp:docPr id="3" name="Obrázok 3" descr="Popis: PDH spracované listnaté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7" descr="Popis: PDH spracované listnaté 20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845435"/>
                    </a:xfrm>
                    <a:prstGeom prst="rect">
                      <a:avLst/>
                    </a:prstGeom>
                    <a:noFill/>
                    <a:ln>
                      <a:noFill/>
                    </a:ln>
                  </pic:spPr>
                </pic:pic>
              </a:graphicData>
            </a:graphic>
          </wp:inline>
        </w:drawing>
      </w:r>
    </w:p>
    <w:p w:rsidR="003D7659" w:rsidRDefault="003D7659" w:rsidP="003D7659"/>
    <w:p w:rsidR="003D7659" w:rsidRDefault="003D7659" w:rsidP="003D7659">
      <w:pPr>
        <w:pStyle w:val="Popis"/>
        <w:jc w:val="center"/>
      </w:pPr>
      <w:r>
        <w:t xml:space="preserve">Obrázok </w:t>
      </w:r>
      <w:r>
        <w:fldChar w:fldCharType="begin"/>
      </w:r>
      <w:r>
        <w:instrText xml:space="preserve"> SEQ Obrázok \* ARABIC </w:instrText>
      </w:r>
      <w:r>
        <w:fldChar w:fldCharType="separate"/>
      </w:r>
      <w:r>
        <w:rPr>
          <w:noProof/>
        </w:rPr>
        <w:t>23</w:t>
      </w:r>
      <w:r>
        <w:rPr>
          <w:noProof/>
        </w:rPr>
        <w:fldChar w:fldCharType="end"/>
      </w:r>
      <w:r>
        <w:t>. Náhodná vykonaná ťažba listnatých drevín poškodených podkôrnym a drevokazným hmyzom v roku 2012</w:t>
      </w:r>
    </w:p>
    <w:p w:rsidR="003D7659" w:rsidRDefault="003D7659" w:rsidP="003D7659"/>
    <w:p w:rsidR="003D7659" w:rsidRDefault="003D7659" w:rsidP="003D7659"/>
    <w:p w:rsidR="003D7659" w:rsidRDefault="003D7659" w:rsidP="003D7659"/>
    <w:p w:rsidR="003D7659" w:rsidRDefault="003D7659" w:rsidP="003D7659">
      <w:r>
        <w:rPr>
          <w:noProof/>
        </w:rPr>
        <w:drawing>
          <wp:inline distT="0" distB="0" distL="0" distR="0">
            <wp:extent cx="5759450" cy="2845435"/>
            <wp:effectExtent l="0" t="0" r="0" b="0"/>
            <wp:docPr id="2" name="Obrázok 2" descr="Popis: PDH spracované spolu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8" descr="Popis: PDH spracované spolu 20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845435"/>
                    </a:xfrm>
                    <a:prstGeom prst="rect">
                      <a:avLst/>
                    </a:prstGeom>
                    <a:noFill/>
                    <a:ln>
                      <a:noFill/>
                    </a:ln>
                  </pic:spPr>
                </pic:pic>
              </a:graphicData>
            </a:graphic>
          </wp:inline>
        </w:drawing>
      </w:r>
    </w:p>
    <w:p w:rsidR="003D7659" w:rsidRDefault="003D7659" w:rsidP="003D7659">
      <w:pPr>
        <w:pStyle w:val="Popis"/>
        <w:jc w:val="center"/>
      </w:pPr>
    </w:p>
    <w:p w:rsidR="003D7659" w:rsidRDefault="003D7659" w:rsidP="003D7659">
      <w:pPr>
        <w:pStyle w:val="Popis"/>
        <w:jc w:val="center"/>
      </w:pPr>
      <w:r>
        <w:t xml:space="preserve">Obrázok </w:t>
      </w:r>
      <w:r>
        <w:fldChar w:fldCharType="begin"/>
      </w:r>
      <w:r>
        <w:instrText xml:space="preserve"> SEQ Obrázok \* ARABIC </w:instrText>
      </w:r>
      <w:r>
        <w:fldChar w:fldCharType="separate"/>
      </w:r>
      <w:r>
        <w:rPr>
          <w:noProof/>
        </w:rPr>
        <w:t>24</w:t>
      </w:r>
      <w:r>
        <w:rPr>
          <w:noProof/>
        </w:rPr>
        <w:fldChar w:fldCharType="end"/>
      </w:r>
      <w:r>
        <w:t>. Náhodná vykonaná ťažba ihličnatých a listnatých drevín poškodených podkôrnym a drevokazným hmyzom v roku 2012</w:t>
      </w:r>
    </w:p>
    <w:p w:rsidR="003D7659" w:rsidRDefault="003D7659">
      <w:bookmarkStart w:id="1" w:name="_GoBack"/>
      <w:bookmarkEnd w:id="1"/>
    </w:p>
    <w:sectPr w:rsidR="003D7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90F27"/>
    <w:multiLevelType w:val="multilevel"/>
    <w:tmpl w:val="081C7710"/>
    <w:lvl w:ilvl="0">
      <w:start w:val="1"/>
      <w:numFmt w:val="decimal"/>
      <w:pStyle w:val="Nadpis1"/>
      <w:lvlText w:val="%1"/>
      <w:lvlJc w:val="left"/>
      <w:pPr>
        <w:tabs>
          <w:tab w:val="num" w:pos="1283"/>
        </w:tabs>
        <w:ind w:left="1283" w:hanging="432"/>
      </w:pPr>
      <w:rPr>
        <w:b/>
        <w:i w:val="0"/>
        <w:sz w:val="24"/>
        <w:szCs w:val="24"/>
      </w:rPr>
    </w:lvl>
    <w:lvl w:ilvl="1">
      <w:start w:val="1"/>
      <w:numFmt w:val="decimal"/>
      <w:pStyle w:val="Nadpis2"/>
      <w:lvlText w:val="%1.%2"/>
      <w:lvlJc w:val="left"/>
      <w:pPr>
        <w:tabs>
          <w:tab w:val="num" w:pos="1427"/>
        </w:tabs>
        <w:ind w:left="1427" w:hanging="576"/>
      </w:pPr>
    </w:lvl>
    <w:lvl w:ilvl="2">
      <w:start w:val="1"/>
      <w:numFmt w:val="decimal"/>
      <w:pStyle w:val="Nadpis3"/>
      <w:lvlText w:val="%1.%2.%3"/>
      <w:lvlJc w:val="left"/>
      <w:pPr>
        <w:tabs>
          <w:tab w:val="num" w:pos="1571"/>
        </w:tabs>
        <w:ind w:left="1571" w:hanging="720"/>
      </w:pPr>
    </w:lvl>
    <w:lvl w:ilvl="3">
      <w:start w:val="1"/>
      <w:numFmt w:val="decimal"/>
      <w:pStyle w:val="Nadpis4"/>
      <w:lvlText w:val="%1.%2.%3.%4"/>
      <w:lvlJc w:val="left"/>
      <w:pPr>
        <w:tabs>
          <w:tab w:val="num" w:pos="1715"/>
        </w:tabs>
        <w:ind w:left="1715" w:hanging="864"/>
      </w:pPr>
    </w:lvl>
    <w:lvl w:ilvl="4">
      <w:start w:val="1"/>
      <w:numFmt w:val="decimal"/>
      <w:pStyle w:val="Nadpis5"/>
      <w:lvlText w:val="%1.%2.%3.%4.%5"/>
      <w:lvlJc w:val="left"/>
      <w:pPr>
        <w:tabs>
          <w:tab w:val="num" w:pos="1859"/>
        </w:tabs>
        <w:ind w:left="1859" w:hanging="1008"/>
      </w:pPr>
    </w:lvl>
    <w:lvl w:ilvl="5">
      <w:start w:val="1"/>
      <w:numFmt w:val="decimal"/>
      <w:pStyle w:val="Nadpis6"/>
      <w:lvlText w:val="%1.%2.%3.%4.%5.%6"/>
      <w:lvlJc w:val="left"/>
      <w:pPr>
        <w:tabs>
          <w:tab w:val="num" w:pos="2003"/>
        </w:tabs>
        <w:ind w:left="2003" w:hanging="1152"/>
      </w:pPr>
    </w:lvl>
    <w:lvl w:ilvl="6">
      <w:start w:val="1"/>
      <w:numFmt w:val="decimal"/>
      <w:pStyle w:val="Nadpis7"/>
      <w:lvlText w:val="%1.%2.%3.%4.%5.%6.%7"/>
      <w:lvlJc w:val="left"/>
      <w:pPr>
        <w:tabs>
          <w:tab w:val="num" w:pos="2147"/>
        </w:tabs>
        <w:ind w:left="2147" w:hanging="1296"/>
      </w:pPr>
    </w:lvl>
    <w:lvl w:ilvl="7">
      <w:start w:val="1"/>
      <w:numFmt w:val="decimal"/>
      <w:pStyle w:val="Nadpis8"/>
      <w:lvlText w:val="%1.%2.%3.%4.%5.%6.%7.%8"/>
      <w:lvlJc w:val="left"/>
      <w:pPr>
        <w:tabs>
          <w:tab w:val="num" w:pos="2291"/>
        </w:tabs>
        <w:ind w:left="2291" w:hanging="1440"/>
      </w:pPr>
    </w:lvl>
    <w:lvl w:ilvl="8">
      <w:start w:val="1"/>
      <w:numFmt w:val="decimal"/>
      <w:pStyle w:val="Nadpis9"/>
      <w:lvlText w:val="%1.%2.%3.%4.%5.%6.%7.%8.%9"/>
      <w:lvlJc w:val="left"/>
      <w:pPr>
        <w:tabs>
          <w:tab w:val="num" w:pos="2435"/>
        </w:tabs>
        <w:ind w:left="2435"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47"/>
    <w:rsid w:val="00132247"/>
    <w:rsid w:val="003D7659"/>
    <w:rsid w:val="00446EAB"/>
    <w:rsid w:val="00D458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32247"/>
    <w:pPr>
      <w:spacing w:before="120"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32247"/>
    <w:pPr>
      <w:keepNext/>
      <w:numPr>
        <w:numId w:val="1"/>
      </w:numPr>
      <w:outlineLvl w:val="0"/>
    </w:pPr>
    <w:rPr>
      <w:rFonts w:cs="Arial"/>
      <w:b/>
      <w:bCs/>
      <w:smallCaps/>
      <w:kern w:val="32"/>
      <w:szCs w:val="28"/>
    </w:rPr>
  </w:style>
  <w:style w:type="paragraph" w:styleId="Nadpis2">
    <w:name w:val="heading 2"/>
    <w:basedOn w:val="Normlny"/>
    <w:next w:val="Normlny"/>
    <w:link w:val="Nadpis2Char"/>
    <w:semiHidden/>
    <w:unhideWhenUsed/>
    <w:qFormat/>
    <w:rsid w:val="00132247"/>
    <w:pPr>
      <w:keepNext/>
      <w:numPr>
        <w:ilvl w:val="1"/>
        <w:numId w:val="1"/>
      </w:numPr>
      <w:outlineLvl w:val="1"/>
    </w:pPr>
    <w:rPr>
      <w:rFonts w:cs="Arial"/>
      <w:b/>
      <w:bCs/>
      <w:iCs/>
      <w:szCs w:val="28"/>
    </w:rPr>
  </w:style>
  <w:style w:type="paragraph" w:styleId="Nadpis3">
    <w:name w:val="heading 3"/>
    <w:basedOn w:val="Normlny"/>
    <w:next w:val="Normlny"/>
    <w:link w:val="Nadpis3Char"/>
    <w:uiPriority w:val="99"/>
    <w:semiHidden/>
    <w:unhideWhenUsed/>
    <w:qFormat/>
    <w:rsid w:val="00132247"/>
    <w:pPr>
      <w:keepNext/>
      <w:numPr>
        <w:ilvl w:val="2"/>
        <w:numId w:val="1"/>
      </w:numPr>
      <w:tabs>
        <w:tab w:val="left" w:pos="851"/>
      </w:tabs>
      <w:outlineLvl w:val="2"/>
    </w:pPr>
    <w:rPr>
      <w:rFonts w:cs="Arial"/>
      <w:bCs/>
      <w:i/>
      <w:szCs w:val="26"/>
    </w:rPr>
  </w:style>
  <w:style w:type="paragraph" w:styleId="Nadpis4">
    <w:name w:val="heading 4"/>
    <w:basedOn w:val="Normlny"/>
    <w:next w:val="Normlny"/>
    <w:link w:val="Nadpis4Char"/>
    <w:semiHidden/>
    <w:unhideWhenUsed/>
    <w:qFormat/>
    <w:rsid w:val="00132247"/>
    <w:pPr>
      <w:keepNext/>
      <w:numPr>
        <w:ilvl w:val="3"/>
        <w:numId w:val="1"/>
      </w:numPr>
      <w:outlineLvl w:val="3"/>
    </w:pPr>
    <w:rPr>
      <w:bCs/>
      <w:spacing w:val="20"/>
      <w:sz w:val="22"/>
    </w:rPr>
  </w:style>
  <w:style w:type="paragraph" w:styleId="Nadpis5">
    <w:name w:val="heading 5"/>
    <w:basedOn w:val="Normlny"/>
    <w:next w:val="Normlny"/>
    <w:link w:val="Nadpis5Char"/>
    <w:semiHidden/>
    <w:unhideWhenUsed/>
    <w:qFormat/>
    <w:rsid w:val="00132247"/>
    <w:pPr>
      <w:numPr>
        <w:ilvl w:val="4"/>
        <w:numId w:val="1"/>
      </w:numPr>
      <w:outlineLvl w:val="4"/>
    </w:pPr>
    <w:rPr>
      <w:bCs/>
      <w:i/>
      <w:iCs/>
      <w:sz w:val="22"/>
      <w:szCs w:val="26"/>
    </w:rPr>
  </w:style>
  <w:style w:type="paragraph" w:styleId="Nadpis6">
    <w:name w:val="heading 6"/>
    <w:basedOn w:val="Normlny"/>
    <w:next w:val="Normlny"/>
    <w:link w:val="Nadpis6Char"/>
    <w:semiHidden/>
    <w:unhideWhenUsed/>
    <w:qFormat/>
    <w:rsid w:val="00132247"/>
    <w:pPr>
      <w:numPr>
        <w:ilvl w:val="5"/>
        <w:numId w:val="1"/>
      </w:numPr>
      <w:spacing w:before="240" w:after="60"/>
      <w:outlineLvl w:val="5"/>
    </w:pPr>
    <w:rPr>
      <w:b/>
      <w:bCs/>
      <w:sz w:val="22"/>
      <w:szCs w:val="22"/>
    </w:rPr>
  </w:style>
  <w:style w:type="paragraph" w:styleId="Nadpis7">
    <w:name w:val="heading 7"/>
    <w:basedOn w:val="Normlny"/>
    <w:next w:val="Normlny"/>
    <w:link w:val="Nadpis7Char"/>
    <w:semiHidden/>
    <w:unhideWhenUsed/>
    <w:qFormat/>
    <w:rsid w:val="00132247"/>
    <w:pPr>
      <w:numPr>
        <w:ilvl w:val="6"/>
        <w:numId w:val="1"/>
      </w:numPr>
      <w:spacing w:before="240" w:after="60"/>
      <w:outlineLvl w:val="6"/>
    </w:pPr>
  </w:style>
  <w:style w:type="paragraph" w:styleId="Nadpis8">
    <w:name w:val="heading 8"/>
    <w:basedOn w:val="Normlny"/>
    <w:next w:val="Normlny"/>
    <w:link w:val="Nadpis8Char"/>
    <w:semiHidden/>
    <w:unhideWhenUsed/>
    <w:qFormat/>
    <w:rsid w:val="00132247"/>
    <w:pPr>
      <w:numPr>
        <w:ilvl w:val="7"/>
        <w:numId w:val="1"/>
      </w:numPr>
      <w:spacing w:before="240" w:after="60"/>
      <w:outlineLvl w:val="7"/>
    </w:pPr>
    <w:rPr>
      <w:i/>
      <w:iCs/>
    </w:rPr>
  </w:style>
  <w:style w:type="paragraph" w:styleId="Nadpis9">
    <w:name w:val="heading 9"/>
    <w:basedOn w:val="Normlny"/>
    <w:next w:val="Normlny"/>
    <w:link w:val="Nadpis9Char"/>
    <w:semiHidden/>
    <w:unhideWhenUsed/>
    <w:qFormat/>
    <w:rsid w:val="00132247"/>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32247"/>
    <w:rPr>
      <w:rFonts w:ascii="Times New Roman" w:eastAsia="Times New Roman" w:hAnsi="Times New Roman" w:cs="Arial"/>
      <w:b/>
      <w:bCs/>
      <w:smallCaps/>
      <w:kern w:val="32"/>
      <w:sz w:val="24"/>
      <w:szCs w:val="28"/>
      <w:lang w:eastAsia="sk-SK"/>
    </w:rPr>
  </w:style>
  <w:style w:type="character" w:customStyle="1" w:styleId="Nadpis2Char">
    <w:name w:val="Nadpis 2 Char"/>
    <w:basedOn w:val="Predvolenpsmoodseku"/>
    <w:link w:val="Nadpis2"/>
    <w:semiHidden/>
    <w:rsid w:val="00132247"/>
    <w:rPr>
      <w:rFonts w:ascii="Times New Roman" w:eastAsia="Times New Roman" w:hAnsi="Times New Roman" w:cs="Arial"/>
      <w:b/>
      <w:bCs/>
      <w:iCs/>
      <w:sz w:val="24"/>
      <w:szCs w:val="28"/>
      <w:lang w:eastAsia="sk-SK"/>
    </w:rPr>
  </w:style>
  <w:style w:type="character" w:customStyle="1" w:styleId="Nadpis3Char">
    <w:name w:val="Nadpis 3 Char"/>
    <w:basedOn w:val="Predvolenpsmoodseku"/>
    <w:link w:val="Nadpis3"/>
    <w:uiPriority w:val="99"/>
    <w:semiHidden/>
    <w:rsid w:val="00132247"/>
    <w:rPr>
      <w:rFonts w:ascii="Times New Roman" w:eastAsia="Times New Roman" w:hAnsi="Times New Roman" w:cs="Arial"/>
      <w:bCs/>
      <w:i/>
      <w:sz w:val="24"/>
      <w:szCs w:val="26"/>
      <w:lang w:eastAsia="sk-SK"/>
    </w:rPr>
  </w:style>
  <w:style w:type="character" w:customStyle="1" w:styleId="Nadpis4Char">
    <w:name w:val="Nadpis 4 Char"/>
    <w:basedOn w:val="Predvolenpsmoodseku"/>
    <w:link w:val="Nadpis4"/>
    <w:semiHidden/>
    <w:rsid w:val="00132247"/>
    <w:rPr>
      <w:rFonts w:ascii="Times New Roman" w:eastAsia="Times New Roman" w:hAnsi="Times New Roman" w:cs="Times New Roman"/>
      <w:bCs/>
      <w:spacing w:val="20"/>
      <w:szCs w:val="24"/>
      <w:lang w:eastAsia="sk-SK"/>
    </w:rPr>
  </w:style>
  <w:style w:type="character" w:customStyle="1" w:styleId="Nadpis5Char">
    <w:name w:val="Nadpis 5 Char"/>
    <w:basedOn w:val="Predvolenpsmoodseku"/>
    <w:link w:val="Nadpis5"/>
    <w:semiHidden/>
    <w:rsid w:val="00132247"/>
    <w:rPr>
      <w:rFonts w:ascii="Times New Roman" w:eastAsia="Times New Roman" w:hAnsi="Times New Roman" w:cs="Times New Roman"/>
      <w:bCs/>
      <w:i/>
      <w:iCs/>
      <w:szCs w:val="26"/>
      <w:lang w:eastAsia="sk-SK"/>
    </w:rPr>
  </w:style>
  <w:style w:type="character" w:customStyle="1" w:styleId="Nadpis6Char">
    <w:name w:val="Nadpis 6 Char"/>
    <w:basedOn w:val="Predvolenpsmoodseku"/>
    <w:link w:val="Nadpis6"/>
    <w:semiHidden/>
    <w:rsid w:val="00132247"/>
    <w:rPr>
      <w:rFonts w:ascii="Times New Roman" w:eastAsia="Times New Roman" w:hAnsi="Times New Roman" w:cs="Times New Roman"/>
      <w:b/>
      <w:bCs/>
      <w:lang w:eastAsia="sk-SK"/>
    </w:rPr>
  </w:style>
  <w:style w:type="character" w:customStyle="1" w:styleId="Nadpis7Char">
    <w:name w:val="Nadpis 7 Char"/>
    <w:basedOn w:val="Predvolenpsmoodseku"/>
    <w:link w:val="Nadpis7"/>
    <w:semiHidden/>
    <w:rsid w:val="00132247"/>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semiHidden/>
    <w:rsid w:val="00132247"/>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semiHidden/>
    <w:rsid w:val="00132247"/>
    <w:rPr>
      <w:rFonts w:ascii="Arial" w:eastAsia="Times New Roman" w:hAnsi="Arial" w:cs="Arial"/>
      <w:lang w:eastAsia="sk-SK"/>
    </w:rPr>
  </w:style>
  <w:style w:type="paragraph" w:styleId="Popis">
    <w:name w:val="caption"/>
    <w:basedOn w:val="Normlny"/>
    <w:next w:val="Normlny"/>
    <w:uiPriority w:val="35"/>
    <w:semiHidden/>
    <w:unhideWhenUsed/>
    <w:qFormat/>
    <w:rsid w:val="00132247"/>
    <w:pPr>
      <w:jc w:val="both"/>
    </w:pPr>
    <w:rPr>
      <w:bCs/>
      <w:szCs w:val="20"/>
    </w:rPr>
  </w:style>
  <w:style w:type="paragraph" w:styleId="Textbubliny">
    <w:name w:val="Balloon Text"/>
    <w:basedOn w:val="Normlny"/>
    <w:link w:val="TextbublinyChar"/>
    <w:uiPriority w:val="99"/>
    <w:semiHidden/>
    <w:unhideWhenUsed/>
    <w:rsid w:val="00132247"/>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rsid w:val="00132247"/>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32247"/>
    <w:pPr>
      <w:spacing w:before="120"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32247"/>
    <w:pPr>
      <w:keepNext/>
      <w:numPr>
        <w:numId w:val="1"/>
      </w:numPr>
      <w:outlineLvl w:val="0"/>
    </w:pPr>
    <w:rPr>
      <w:rFonts w:cs="Arial"/>
      <w:b/>
      <w:bCs/>
      <w:smallCaps/>
      <w:kern w:val="32"/>
      <w:szCs w:val="28"/>
    </w:rPr>
  </w:style>
  <w:style w:type="paragraph" w:styleId="Nadpis2">
    <w:name w:val="heading 2"/>
    <w:basedOn w:val="Normlny"/>
    <w:next w:val="Normlny"/>
    <w:link w:val="Nadpis2Char"/>
    <w:semiHidden/>
    <w:unhideWhenUsed/>
    <w:qFormat/>
    <w:rsid w:val="00132247"/>
    <w:pPr>
      <w:keepNext/>
      <w:numPr>
        <w:ilvl w:val="1"/>
        <w:numId w:val="1"/>
      </w:numPr>
      <w:outlineLvl w:val="1"/>
    </w:pPr>
    <w:rPr>
      <w:rFonts w:cs="Arial"/>
      <w:b/>
      <w:bCs/>
      <w:iCs/>
      <w:szCs w:val="28"/>
    </w:rPr>
  </w:style>
  <w:style w:type="paragraph" w:styleId="Nadpis3">
    <w:name w:val="heading 3"/>
    <w:basedOn w:val="Normlny"/>
    <w:next w:val="Normlny"/>
    <w:link w:val="Nadpis3Char"/>
    <w:uiPriority w:val="99"/>
    <w:semiHidden/>
    <w:unhideWhenUsed/>
    <w:qFormat/>
    <w:rsid w:val="00132247"/>
    <w:pPr>
      <w:keepNext/>
      <w:numPr>
        <w:ilvl w:val="2"/>
        <w:numId w:val="1"/>
      </w:numPr>
      <w:tabs>
        <w:tab w:val="left" w:pos="851"/>
      </w:tabs>
      <w:outlineLvl w:val="2"/>
    </w:pPr>
    <w:rPr>
      <w:rFonts w:cs="Arial"/>
      <w:bCs/>
      <w:i/>
      <w:szCs w:val="26"/>
    </w:rPr>
  </w:style>
  <w:style w:type="paragraph" w:styleId="Nadpis4">
    <w:name w:val="heading 4"/>
    <w:basedOn w:val="Normlny"/>
    <w:next w:val="Normlny"/>
    <w:link w:val="Nadpis4Char"/>
    <w:semiHidden/>
    <w:unhideWhenUsed/>
    <w:qFormat/>
    <w:rsid w:val="00132247"/>
    <w:pPr>
      <w:keepNext/>
      <w:numPr>
        <w:ilvl w:val="3"/>
        <w:numId w:val="1"/>
      </w:numPr>
      <w:outlineLvl w:val="3"/>
    </w:pPr>
    <w:rPr>
      <w:bCs/>
      <w:spacing w:val="20"/>
      <w:sz w:val="22"/>
    </w:rPr>
  </w:style>
  <w:style w:type="paragraph" w:styleId="Nadpis5">
    <w:name w:val="heading 5"/>
    <w:basedOn w:val="Normlny"/>
    <w:next w:val="Normlny"/>
    <w:link w:val="Nadpis5Char"/>
    <w:semiHidden/>
    <w:unhideWhenUsed/>
    <w:qFormat/>
    <w:rsid w:val="00132247"/>
    <w:pPr>
      <w:numPr>
        <w:ilvl w:val="4"/>
        <w:numId w:val="1"/>
      </w:numPr>
      <w:outlineLvl w:val="4"/>
    </w:pPr>
    <w:rPr>
      <w:bCs/>
      <w:i/>
      <w:iCs/>
      <w:sz w:val="22"/>
      <w:szCs w:val="26"/>
    </w:rPr>
  </w:style>
  <w:style w:type="paragraph" w:styleId="Nadpis6">
    <w:name w:val="heading 6"/>
    <w:basedOn w:val="Normlny"/>
    <w:next w:val="Normlny"/>
    <w:link w:val="Nadpis6Char"/>
    <w:semiHidden/>
    <w:unhideWhenUsed/>
    <w:qFormat/>
    <w:rsid w:val="00132247"/>
    <w:pPr>
      <w:numPr>
        <w:ilvl w:val="5"/>
        <w:numId w:val="1"/>
      </w:numPr>
      <w:spacing w:before="240" w:after="60"/>
      <w:outlineLvl w:val="5"/>
    </w:pPr>
    <w:rPr>
      <w:b/>
      <w:bCs/>
      <w:sz w:val="22"/>
      <w:szCs w:val="22"/>
    </w:rPr>
  </w:style>
  <w:style w:type="paragraph" w:styleId="Nadpis7">
    <w:name w:val="heading 7"/>
    <w:basedOn w:val="Normlny"/>
    <w:next w:val="Normlny"/>
    <w:link w:val="Nadpis7Char"/>
    <w:semiHidden/>
    <w:unhideWhenUsed/>
    <w:qFormat/>
    <w:rsid w:val="00132247"/>
    <w:pPr>
      <w:numPr>
        <w:ilvl w:val="6"/>
        <w:numId w:val="1"/>
      </w:numPr>
      <w:spacing w:before="240" w:after="60"/>
      <w:outlineLvl w:val="6"/>
    </w:pPr>
  </w:style>
  <w:style w:type="paragraph" w:styleId="Nadpis8">
    <w:name w:val="heading 8"/>
    <w:basedOn w:val="Normlny"/>
    <w:next w:val="Normlny"/>
    <w:link w:val="Nadpis8Char"/>
    <w:semiHidden/>
    <w:unhideWhenUsed/>
    <w:qFormat/>
    <w:rsid w:val="00132247"/>
    <w:pPr>
      <w:numPr>
        <w:ilvl w:val="7"/>
        <w:numId w:val="1"/>
      </w:numPr>
      <w:spacing w:before="240" w:after="60"/>
      <w:outlineLvl w:val="7"/>
    </w:pPr>
    <w:rPr>
      <w:i/>
      <w:iCs/>
    </w:rPr>
  </w:style>
  <w:style w:type="paragraph" w:styleId="Nadpis9">
    <w:name w:val="heading 9"/>
    <w:basedOn w:val="Normlny"/>
    <w:next w:val="Normlny"/>
    <w:link w:val="Nadpis9Char"/>
    <w:semiHidden/>
    <w:unhideWhenUsed/>
    <w:qFormat/>
    <w:rsid w:val="00132247"/>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32247"/>
    <w:rPr>
      <w:rFonts w:ascii="Times New Roman" w:eastAsia="Times New Roman" w:hAnsi="Times New Roman" w:cs="Arial"/>
      <w:b/>
      <w:bCs/>
      <w:smallCaps/>
      <w:kern w:val="32"/>
      <w:sz w:val="24"/>
      <w:szCs w:val="28"/>
      <w:lang w:eastAsia="sk-SK"/>
    </w:rPr>
  </w:style>
  <w:style w:type="character" w:customStyle="1" w:styleId="Nadpis2Char">
    <w:name w:val="Nadpis 2 Char"/>
    <w:basedOn w:val="Predvolenpsmoodseku"/>
    <w:link w:val="Nadpis2"/>
    <w:semiHidden/>
    <w:rsid w:val="00132247"/>
    <w:rPr>
      <w:rFonts w:ascii="Times New Roman" w:eastAsia="Times New Roman" w:hAnsi="Times New Roman" w:cs="Arial"/>
      <w:b/>
      <w:bCs/>
      <w:iCs/>
      <w:sz w:val="24"/>
      <w:szCs w:val="28"/>
      <w:lang w:eastAsia="sk-SK"/>
    </w:rPr>
  </w:style>
  <w:style w:type="character" w:customStyle="1" w:styleId="Nadpis3Char">
    <w:name w:val="Nadpis 3 Char"/>
    <w:basedOn w:val="Predvolenpsmoodseku"/>
    <w:link w:val="Nadpis3"/>
    <w:uiPriority w:val="99"/>
    <w:semiHidden/>
    <w:rsid w:val="00132247"/>
    <w:rPr>
      <w:rFonts w:ascii="Times New Roman" w:eastAsia="Times New Roman" w:hAnsi="Times New Roman" w:cs="Arial"/>
      <w:bCs/>
      <w:i/>
      <w:sz w:val="24"/>
      <w:szCs w:val="26"/>
      <w:lang w:eastAsia="sk-SK"/>
    </w:rPr>
  </w:style>
  <w:style w:type="character" w:customStyle="1" w:styleId="Nadpis4Char">
    <w:name w:val="Nadpis 4 Char"/>
    <w:basedOn w:val="Predvolenpsmoodseku"/>
    <w:link w:val="Nadpis4"/>
    <w:semiHidden/>
    <w:rsid w:val="00132247"/>
    <w:rPr>
      <w:rFonts w:ascii="Times New Roman" w:eastAsia="Times New Roman" w:hAnsi="Times New Roman" w:cs="Times New Roman"/>
      <w:bCs/>
      <w:spacing w:val="20"/>
      <w:szCs w:val="24"/>
      <w:lang w:eastAsia="sk-SK"/>
    </w:rPr>
  </w:style>
  <w:style w:type="character" w:customStyle="1" w:styleId="Nadpis5Char">
    <w:name w:val="Nadpis 5 Char"/>
    <w:basedOn w:val="Predvolenpsmoodseku"/>
    <w:link w:val="Nadpis5"/>
    <w:semiHidden/>
    <w:rsid w:val="00132247"/>
    <w:rPr>
      <w:rFonts w:ascii="Times New Roman" w:eastAsia="Times New Roman" w:hAnsi="Times New Roman" w:cs="Times New Roman"/>
      <w:bCs/>
      <w:i/>
      <w:iCs/>
      <w:szCs w:val="26"/>
      <w:lang w:eastAsia="sk-SK"/>
    </w:rPr>
  </w:style>
  <w:style w:type="character" w:customStyle="1" w:styleId="Nadpis6Char">
    <w:name w:val="Nadpis 6 Char"/>
    <w:basedOn w:val="Predvolenpsmoodseku"/>
    <w:link w:val="Nadpis6"/>
    <w:semiHidden/>
    <w:rsid w:val="00132247"/>
    <w:rPr>
      <w:rFonts w:ascii="Times New Roman" w:eastAsia="Times New Roman" w:hAnsi="Times New Roman" w:cs="Times New Roman"/>
      <w:b/>
      <w:bCs/>
      <w:lang w:eastAsia="sk-SK"/>
    </w:rPr>
  </w:style>
  <w:style w:type="character" w:customStyle="1" w:styleId="Nadpis7Char">
    <w:name w:val="Nadpis 7 Char"/>
    <w:basedOn w:val="Predvolenpsmoodseku"/>
    <w:link w:val="Nadpis7"/>
    <w:semiHidden/>
    <w:rsid w:val="00132247"/>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semiHidden/>
    <w:rsid w:val="00132247"/>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semiHidden/>
    <w:rsid w:val="00132247"/>
    <w:rPr>
      <w:rFonts w:ascii="Arial" w:eastAsia="Times New Roman" w:hAnsi="Arial" w:cs="Arial"/>
      <w:lang w:eastAsia="sk-SK"/>
    </w:rPr>
  </w:style>
  <w:style w:type="paragraph" w:styleId="Popis">
    <w:name w:val="caption"/>
    <w:basedOn w:val="Normlny"/>
    <w:next w:val="Normlny"/>
    <w:uiPriority w:val="35"/>
    <w:semiHidden/>
    <w:unhideWhenUsed/>
    <w:qFormat/>
    <w:rsid w:val="00132247"/>
    <w:pPr>
      <w:jc w:val="both"/>
    </w:pPr>
    <w:rPr>
      <w:bCs/>
      <w:szCs w:val="20"/>
    </w:rPr>
  </w:style>
  <w:style w:type="paragraph" w:styleId="Textbubliny">
    <w:name w:val="Balloon Text"/>
    <w:basedOn w:val="Normlny"/>
    <w:link w:val="TextbublinyChar"/>
    <w:uiPriority w:val="99"/>
    <w:semiHidden/>
    <w:unhideWhenUsed/>
    <w:rsid w:val="00132247"/>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rsid w:val="00132247"/>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6887">
      <w:bodyDiv w:val="1"/>
      <w:marLeft w:val="0"/>
      <w:marRight w:val="0"/>
      <w:marTop w:val="0"/>
      <w:marBottom w:val="0"/>
      <w:divBdr>
        <w:top w:val="none" w:sz="0" w:space="0" w:color="auto"/>
        <w:left w:val="none" w:sz="0" w:space="0" w:color="auto"/>
        <w:bottom w:val="none" w:sz="0" w:space="0" w:color="auto"/>
        <w:right w:val="none" w:sz="0" w:space="0" w:color="auto"/>
      </w:divBdr>
    </w:div>
    <w:div w:id="190220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image" Target="media/image5.jpe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Vakula\Downloads\IT%20monitoring%202012%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kula\Downloads\IT%20monitoring%202012%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04377397244004"/>
          <c:y val="4.440250601984759E-2"/>
          <c:w val="0.77052314967939284"/>
          <c:h val="0.75577255245390229"/>
        </c:manualLayout>
      </c:layout>
      <c:lineChart>
        <c:grouping val="standard"/>
        <c:varyColors val="0"/>
        <c:ser>
          <c:idx val="0"/>
          <c:order val="0"/>
          <c:tx>
            <c:strRef>
              <c:f>'[IT monitoring 2012 (2).xlsx]kont IT'!$A$9</c:f>
              <c:strCache>
                <c:ptCount val="1"/>
                <c:pt idx="0">
                  <c:v>CA</c:v>
                </c:pt>
              </c:strCache>
            </c:strRef>
          </c:tx>
          <c:marker>
            <c:symbol val="none"/>
          </c:marker>
          <c:cat>
            <c:numRef>
              <c:f>'[IT monitoring 2012 (2).xlsx]kont IT'!$M$4:$M$13</c:f>
              <c:numCache>
                <c:formatCode>0</c:formatCode>
                <c:ptCount val="10"/>
                <c:pt idx="0">
                  <c:v>20</c:v>
                </c:pt>
                <c:pt idx="1">
                  <c:v>22</c:v>
                </c:pt>
                <c:pt idx="2">
                  <c:v>24</c:v>
                </c:pt>
                <c:pt idx="3">
                  <c:v>26</c:v>
                </c:pt>
                <c:pt idx="4">
                  <c:v>28</c:v>
                </c:pt>
                <c:pt idx="5">
                  <c:v>30</c:v>
                </c:pt>
                <c:pt idx="6">
                  <c:v>32</c:v>
                </c:pt>
                <c:pt idx="7">
                  <c:v>34</c:v>
                </c:pt>
                <c:pt idx="8">
                  <c:v>36</c:v>
                </c:pt>
                <c:pt idx="9">
                  <c:v>38</c:v>
                </c:pt>
              </c:numCache>
            </c:numRef>
          </c:cat>
          <c:val>
            <c:numRef>
              <c:f>'[IT monitoring 2012 (2).xlsx]kont IT'!$B$9:$K$9</c:f>
              <c:numCache>
                <c:formatCode>0</c:formatCode>
                <c:ptCount val="10"/>
                <c:pt idx="0">
                  <c:v>3150</c:v>
                </c:pt>
                <c:pt idx="1">
                  <c:v>2076.25</c:v>
                </c:pt>
                <c:pt idx="2">
                  <c:v>4275</c:v>
                </c:pt>
                <c:pt idx="3">
                  <c:v>4100</c:v>
                </c:pt>
                <c:pt idx="4">
                  <c:v>4125</c:v>
                </c:pt>
                <c:pt idx="5">
                  <c:v>3312.5</c:v>
                </c:pt>
                <c:pt idx="6">
                  <c:v>1481.25</c:v>
                </c:pt>
                <c:pt idx="7">
                  <c:v>2168.75</c:v>
                </c:pt>
                <c:pt idx="8">
                  <c:v>1543.75</c:v>
                </c:pt>
                <c:pt idx="9">
                  <c:v>460</c:v>
                </c:pt>
              </c:numCache>
            </c:numRef>
          </c:val>
          <c:smooth val="0"/>
        </c:ser>
        <c:dLbls>
          <c:showLegendKey val="0"/>
          <c:showVal val="0"/>
          <c:showCatName val="0"/>
          <c:showSerName val="0"/>
          <c:showPercent val="0"/>
          <c:showBubbleSize val="0"/>
        </c:dLbls>
        <c:marker val="1"/>
        <c:smooth val="0"/>
        <c:axId val="36765056"/>
        <c:axId val="57116160"/>
      </c:lineChart>
      <c:catAx>
        <c:axId val="36765056"/>
        <c:scaling>
          <c:orientation val="minMax"/>
        </c:scaling>
        <c:delete val="0"/>
        <c:axPos val="b"/>
        <c:title>
          <c:tx>
            <c:rich>
              <a:bodyPr/>
              <a:lstStyle/>
              <a:p>
                <a:pPr>
                  <a:defRPr/>
                </a:pPr>
                <a:r>
                  <a:rPr lang="en-US"/>
                  <a:t>Týždeň</a:t>
                </a:r>
              </a:p>
            </c:rich>
          </c:tx>
          <c:overlay val="0"/>
        </c:title>
        <c:numFmt formatCode="0" sourceLinked="1"/>
        <c:majorTickMark val="out"/>
        <c:minorTickMark val="none"/>
        <c:tickLblPos val="nextTo"/>
        <c:crossAx val="57116160"/>
        <c:crosses val="autoZero"/>
        <c:auto val="1"/>
        <c:lblAlgn val="ctr"/>
        <c:lblOffset val="100"/>
        <c:noMultiLvlLbl val="0"/>
      </c:catAx>
      <c:valAx>
        <c:axId val="57116160"/>
        <c:scaling>
          <c:orientation val="minMax"/>
        </c:scaling>
        <c:delete val="0"/>
        <c:axPos val="l"/>
        <c:majorGridlines/>
        <c:title>
          <c:tx>
            <c:rich>
              <a:bodyPr rot="-5400000" vert="horz"/>
              <a:lstStyle/>
              <a:p>
                <a:pPr>
                  <a:defRPr/>
                </a:pPr>
                <a:r>
                  <a:rPr lang="en-US"/>
                  <a:t>priemerný odchyt</a:t>
                </a:r>
              </a:p>
            </c:rich>
          </c:tx>
          <c:overlay val="0"/>
        </c:title>
        <c:numFmt formatCode="0" sourceLinked="1"/>
        <c:majorTickMark val="out"/>
        <c:minorTickMark val="none"/>
        <c:tickLblPos val="nextTo"/>
        <c:crossAx val="3676505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3319084599936"/>
          <c:y val="5.1400554097404488E-2"/>
          <c:w val="0.76990740266699431"/>
          <c:h val="0.75397465182070234"/>
        </c:manualLayout>
      </c:layout>
      <c:lineChart>
        <c:grouping val="standard"/>
        <c:varyColors val="0"/>
        <c:ser>
          <c:idx val="0"/>
          <c:order val="0"/>
          <c:tx>
            <c:strRef>
              <c:f>'[IT monitoring 2012 (2).xlsx]Kont PC'!$A$9</c:f>
              <c:strCache>
                <c:ptCount val="1"/>
                <c:pt idx="0">
                  <c:v>CA</c:v>
                </c:pt>
              </c:strCache>
            </c:strRef>
          </c:tx>
          <c:marker>
            <c:symbol val="none"/>
          </c:marker>
          <c:cat>
            <c:numRef>
              <c:f>'[IT monitoring 2012 (2).xlsx]kont IT'!$M$4:$M$13</c:f>
              <c:numCache>
                <c:formatCode>0</c:formatCode>
                <c:ptCount val="10"/>
                <c:pt idx="0">
                  <c:v>20</c:v>
                </c:pt>
                <c:pt idx="1">
                  <c:v>22</c:v>
                </c:pt>
                <c:pt idx="2">
                  <c:v>24</c:v>
                </c:pt>
                <c:pt idx="3">
                  <c:v>26</c:v>
                </c:pt>
                <c:pt idx="4">
                  <c:v>28</c:v>
                </c:pt>
                <c:pt idx="5">
                  <c:v>30</c:v>
                </c:pt>
                <c:pt idx="6">
                  <c:v>32</c:v>
                </c:pt>
                <c:pt idx="7">
                  <c:v>34</c:v>
                </c:pt>
                <c:pt idx="8">
                  <c:v>36</c:v>
                </c:pt>
                <c:pt idx="9">
                  <c:v>38</c:v>
                </c:pt>
              </c:numCache>
            </c:numRef>
          </c:cat>
          <c:val>
            <c:numRef>
              <c:f>'[IT monitoring 2012 (2).xlsx]Kont PC'!$B$9:$K$9</c:f>
              <c:numCache>
                <c:formatCode>General</c:formatCode>
                <c:ptCount val="10"/>
                <c:pt idx="0">
                  <c:v>2287.5</c:v>
                </c:pt>
                <c:pt idx="1">
                  <c:v>8212.5</c:v>
                </c:pt>
                <c:pt idx="2">
                  <c:v>34250</c:v>
                </c:pt>
                <c:pt idx="3">
                  <c:v>39425</c:v>
                </c:pt>
                <c:pt idx="4">
                  <c:v>47887.5</c:v>
                </c:pt>
                <c:pt idx="5">
                  <c:v>35500</c:v>
                </c:pt>
                <c:pt idx="6">
                  <c:v>17400</c:v>
                </c:pt>
                <c:pt idx="7">
                  <c:v>10903.75</c:v>
                </c:pt>
                <c:pt idx="8">
                  <c:v>6012.5</c:v>
                </c:pt>
                <c:pt idx="9">
                  <c:v>1200</c:v>
                </c:pt>
              </c:numCache>
            </c:numRef>
          </c:val>
          <c:smooth val="0"/>
        </c:ser>
        <c:dLbls>
          <c:showLegendKey val="0"/>
          <c:showVal val="0"/>
          <c:showCatName val="0"/>
          <c:showSerName val="0"/>
          <c:showPercent val="0"/>
          <c:showBubbleSize val="0"/>
        </c:dLbls>
        <c:marker val="1"/>
        <c:smooth val="0"/>
        <c:axId val="58266752"/>
        <c:axId val="58268672"/>
      </c:lineChart>
      <c:catAx>
        <c:axId val="58266752"/>
        <c:scaling>
          <c:orientation val="minMax"/>
        </c:scaling>
        <c:delete val="0"/>
        <c:axPos val="b"/>
        <c:title>
          <c:tx>
            <c:rich>
              <a:bodyPr/>
              <a:lstStyle/>
              <a:p>
                <a:pPr>
                  <a:defRPr/>
                </a:pPr>
                <a:r>
                  <a:rPr lang="en-US"/>
                  <a:t>Týždeň</a:t>
                </a:r>
              </a:p>
            </c:rich>
          </c:tx>
          <c:overlay val="0"/>
        </c:title>
        <c:numFmt formatCode="0" sourceLinked="1"/>
        <c:majorTickMark val="out"/>
        <c:minorTickMark val="none"/>
        <c:tickLblPos val="nextTo"/>
        <c:crossAx val="58268672"/>
        <c:crosses val="autoZero"/>
        <c:auto val="1"/>
        <c:lblAlgn val="ctr"/>
        <c:lblOffset val="100"/>
        <c:noMultiLvlLbl val="0"/>
      </c:catAx>
      <c:valAx>
        <c:axId val="58268672"/>
        <c:scaling>
          <c:orientation val="minMax"/>
        </c:scaling>
        <c:delete val="0"/>
        <c:axPos val="l"/>
        <c:majorGridlines/>
        <c:numFmt formatCode="General" sourceLinked="1"/>
        <c:majorTickMark val="out"/>
        <c:minorTickMark val="none"/>
        <c:tickLblPos val="nextTo"/>
        <c:crossAx val="5826675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ikiField xmlns="http://schemas.microsoft.com/sharepoint/v3" xsi:nil="true"/>
  </documentManagement>
</p:properties>
</file>

<file path=customXml/item2.xml><?xml version="1.0" encoding="utf-8"?>
<?mso-contentType ?>
<FormTemplates xmlns="http://schemas.microsoft.com/sharepoint/v3/contenttype/forms">
  <Display>WikiEditForm</Display>
  <Edit>WikiEditForm</Edit>
  <New>WikiEditForm</New>
</FormTemplates>
</file>

<file path=customXml/item3.xml><?xml version="1.0" encoding="utf-8"?>
<ct:contentTypeSchema xmlns:ct="http://schemas.microsoft.com/office/2006/metadata/contentType" xmlns:ma="http://schemas.microsoft.com/office/2006/metadata/properties/metaAttributes" ct:_="" ma:_="" ma:contentTypeName="Wiki Page" ma:contentTypeID="0x01010800E7DA7377B29A134181D844E45F3A9D03" ma:contentTypeVersion="0" ma:contentTypeDescription="Create a new wiki page." ma:contentTypeScope="" ma:versionID="2bf5868b8052e98adc77a7d56271a4fa">
  <xsd:schema xmlns:xsd="http://www.w3.org/2001/XMLSchema" xmlns:xs="http://www.w3.org/2001/XMLSchema" xmlns:p="http://schemas.microsoft.com/office/2006/metadata/properties" xmlns:ns1="http://schemas.microsoft.com/sharepoint/v3" targetNamespace="http://schemas.microsoft.com/office/2006/metadata/properties" ma:root="true" ma:fieldsID="1e79e4192275310a927bd3bd96982ee3" ns1:_="">
    <xsd:import namespace="http://schemas.microsoft.com/sharepoint/v3"/>
    <xsd:element name="properties">
      <xsd:complexType>
        <xsd:sequence>
          <xsd:element name="documentManagement">
            <xsd:complexType>
              <xsd:all>
                <xsd:element ref="ns1:Wiki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ikiField" ma:index="7" nillable="true" ma:displayName="Obsah Wiki" ma:internalName="WikiFiel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A2CB7-4223-4DCD-B930-F43534728967}"/>
</file>

<file path=customXml/itemProps2.xml><?xml version="1.0" encoding="utf-8"?>
<ds:datastoreItem xmlns:ds="http://schemas.openxmlformats.org/officeDocument/2006/customXml" ds:itemID="{1C8F4A21-49D7-440A-AD55-F87855E6FA4C}"/>
</file>

<file path=customXml/itemProps3.xml><?xml version="1.0" encoding="utf-8"?>
<ds:datastoreItem xmlns:ds="http://schemas.openxmlformats.org/officeDocument/2006/customXml" ds:itemID="{212E2A18-9229-4B09-9716-28C68FA82187}"/>
</file>

<file path=docProps/app.xml><?xml version="1.0" encoding="utf-8"?>
<Properties xmlns="http://schemas.openxmlformats.org/officeDocument/2006/extended-properties" xmlns:vt="http://schemas.openxmlformats.org/officeDocument/2006/docPropsVTypes">
  <Template>Normal</Template>
  <TotalTime>1</TotalTime>
  <Pages>7</Pages>
  <Words>1526</Words>
  <Characters>8700</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Vakula</dc:creator>
  <cp:lastModifiedBy>Vakula</cp:lastModifiedBy>
  <cp:revision>2</cp:revision>
  <dcterms:created xsi:type="dcterms:W3CDTF">2013-11-28T08:16:00Z</dcterms:created>
  <dcterms:modified xsi:type="dcterms:W3CDTF">2013-11-28T08:36:00Z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0x01010800E7DA7377B29A134181D844E45F3A9D03</vt:lpwstr>
  </property>
  <property fmtid="{D5CDD505-2E9C-101B-9397-08002B2CF9AE}" pid="3" name="Order">
    <vt:r8>1899500</vt:r8>
  </property>
  <property fmtid="{D5CDD505-2E9C-101B-9397-08002B2CF9AE}" pid="4" name="_SourceUrl">
    <vt:lpwstr/>
  </property>
  <property fmtid="{D5CDD505-2E9C-101B-9397-08002B2CF9AE}" pid="5" name="_SharedFileIndex">
    <vt:lpwstr/>
  </property>
  <property fmtid="{D5CDD505-2E9C-101B-9397-08002B2CF9AE}" pid="6" name="display_urn">
    <vt:lpwstr>administrator</vt:lpwstr>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ies>
</file>