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1.xml" ContentType="application/vnd.openxmlformats-officedocument.drawingml.chart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E24" w:rsidRDefault="00BB5E24" w:rsidP="00BB5E24">
      <w:pPr>
        <w:pStyle w:val="Nadpis4"/>
        <w:numPr>
          <w:ilvl w:val="3"/>
          <w:numId w:val="2"/>
        </w:numPr>
        <w:rPr>
          <w:szCs w:val="20"/>
        </w:rPr>
      </w:pPr>
      <w:bookmarkStart w:id="0" w:name="_GoBack"/>
      <w:bookmarkEnd w:id="0"/>
      <w:r>
        <w:t>Listožravý a cicavý hmyz (</w:t>
      </w:r>
      <w:r>
        <w:rPr>
          <w:szCs w:val="20"/>
        </w:rPr>
        <w:t>Ing. M. Zúbrik, PhD., Ing. M. Úradník, PhD.)</w:t>
      </w:r>
    </w:p>
    <w:p w:rsidR="00BB5E24" w:rsidRDefault="00BB5E24" w:rsidP="00BB5E24">
      <w:pPr>
        <w:spacing w:line="240" w:lineRule="atLeast"/>
        <w:ind w:firstLine="284"/>
        <w:jc w:val="both"/>
      </w:pPr>
      <w:r>
        <w:rPr>
          <w:b/>
        </w:rPr>
        <w:t xml:space="preserve">Listožravý a cicavý hmyz. </w:t>
      </w:r>
      <w:r>
        <w:t xml:space="preserve">Defoliácie lesných drevín spôsobované </w:t>
      </w:r>
      <w:proofErr w:type="spellStart"/>
      <w:r>
        <w:t>listožravým</w:t>
      </w:r>
      <w:proofErr w:type="spellEnd"/>
      <w:r>
        <w:t xml:space="preserve"> hmyzom boli v roku 2012 lesníckou prevádzkou hlásené z výmery 2544 ha. To je výrazné zvýšenie oproti roku 2011 a naplnenie našich prognóz z minulého roku. </w:t>
      </w:r>
    </w:p>
    <w:p w:rsidR="00BB5E24" w:rsidRDefault="00BB5E24" w:rsidP="00BB5E24">
      <w:pPr>
        <w:spacing w:line="240" w:lineRule="atLeast"/>
        <w:ind w:firstLine="284"/>
        <w:jc w:val="both"/>
      </w:pPr>
      <w:r>
        <w:t xml:space="preserve">Za pozornosť stojí napríklad nárast škôd spôsobených </w:t>
      </w:r>
      <w:proofErr w:type="spellStart"/>
      <w:r>
        <w:rPr>
          <w:u w:val="single"/>
        </w:rPr>
        <w:t>kôrovnicou</w:t>
      </w:r>
      <w:proofErr w:type="spellEnd"/>
      <w:r>
        <w:rPr>
          <w:u w:val="single"/>
        </w:rPr>
        <w:t xml:space="preserve"> kaukazskou</w:t>
      </w:r>
      <w:r>
        <w:t xml:space="preserve"> (</w:t>
      </w:r>
      <w:proofErr w:type="spellStart"/>
      <w:r>
        <w:rPr>
          <w:i/>
        </w:rPr>
        <w:t>Dreyfusia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nordmannianae</w:t>
      </w:r>
      <w:proofErr w:type="spellEnd"/>
      <w:r>
        <w:t>) na jedli. Vyskytla sa na výmere 218 ha čo je najvyššia výmera za posledných 12 rokov. Lokálne sa vyskytuje v horských polohách na jedliach mimo ochrany materského porastu (pravidelne najmä v okolí Banskej Bystrice, na Horehroní a inde). V mladinách boli hojné v</w:t>
      </w:r>
      <w:r>
        <w:rPr>
          <w:u w:val="single"/>
        </w:rPr>
        <w:t xml:space="preserve">ošky na smreku a smrekovci </w:t>
      </w:r>
      <w:r>
        <w:t>(</w:t>
      </w:r>
      <w:proofErr w:type="spellStart"/>
      <w:r>
        <w:rPr>
          <w:i/>
        </w:rPr>
        <w:t>Adelges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laricis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Sacciphantes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viridis</w:t>
      </w:r>
      <w:proofErr w:type="spellEnd"/>
      <w:r>
        <w:t xml:space="preserve">). Tiež predovšetkým v horských oblastiach. V ihličnatých porastoch sa v roku 2012 premnožil </w:t>
      </w:r>
      <w:proofErr w:type="spellStart"/>
      <w:r>
        <w:rPr>
          <w:u w:val="single"/>
        </w:rPr>
        <w:t>rúrkovček</w:t>
      </w:r>
      <w:proofErr w:type="spellEnd"/>
      <w:r>
        <w:rPr>
          <w:u w:val="single"/>
        </w:rPr>
        <w:t xml:space="preserve"> smrekovcový (</w:t>
      </w:r>
      <w:proofErr w:type="spellStart"/>
      <w:r>
        <w:rPr>
          <w:i/>
        </w:rPr>
        <w:t>Coleophora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laricella</w:t>
      </w:r>
      <w:proofErr w:type="spellEnd"/>
      <w:r>
        <w:rPr>
          <w:rStyle w:val="st1"/>
          <w:rFonts w:ascii="Arial" w:hAnsi="Arial" w:cs="Arial"/>
        </w:rPr>
        <w:t>)</w:t>
      </w:r>
      <w:r>
        <w:t>. Jeho gradácie mávajú chronický charakter. V roku 2012 sme zaznamenali zvýšený výskyt p</w:t>
      </w:r>
      <w:r>
        <w:rPr>
          <w:u w:val="single"/>
        </w:rPr>
        <w:t>iadiviek na duboch</w:t>
      </w:r>
      <w:r>
        <w:t xml:space="preserve"> (</w:t>
      </w:r>
      <w:proofErr w:type="spellStart"/>
      <w:r>
        <w:rPr>
          <w:i/>
        </w:rPr>
        <w:t>Erannis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defoliaria</w:t>
      </w:r>
      <w:proofErr w:type="spellEnd"/>
      <w:r>
        <w:rPr>
          <w:i/>
        </w:rPr>
        <w:t>,</w:t>
      </w:r>
      <w:r>
        <w:t xml:space="preserve"> </w:t>
      </w:r>
      <w:proofErr w:type="spellStart"/>
      <w:r>
        <w:rPr>
          <w:i/>
        </w:rPr>
        <w:t>Operophtera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brumata</w:t>
      </w:r>
      <w:proofErr w:type="spellEnd"/>
      <w:r>
        <w:t xml:space="preserve">). Boli hojné prakticky všade cca do nadmorskej výšky 350 – 400 m n. m. Najhojnejšie boli na Záhorí a v Malých Karpatoch, ale aj v okolí Levíc a Nitry. V okolí Nitry, Levíc a na niektorých ďalších lokalitách sme na jar roku 2012 opätovne zaznamenali holožery spôsobené </w:t>
      </w:r>
      <w:proofErr w:type="spellStart"/>
      <w:r>
        <w:t>p</w:t>
      </w:r>
      <w:r>
        <w:rPr>
          <w:u w:val="single"/>
        </w:rPr>
        <w:t>loskáčikom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pagaštanovým</w:t>
      </w:r>
      <w:proofErr w:type="spellEnd"/>
      <w:r>
        <w:t xml:space="preserve"> (</w:t>
      </w:r>
      <w:proofErr w:type="spellStart"/>
      <w:r>
        <w:rPr>
          <w:i/>
        </w:rPr>
        <w:t>Cameraria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ohridella</w:t>
      </w:r>
      <w:proofErr w:type="spellEnd"/>
      <w:r>
        <w:t xml:space="preserve">) intenzívne napadol všetky pagaštany na celom území Slovenska. Jarné rojenie bolo intenzívne a bolo len mierne narušované výkyvmi počasia. Na jeseň 2012 mnoho stresovaných stromov opätovne </w:t>
      </w:r>
      <w:proofErr w:type="spellStart"/>
      <w:r>
        <w:t>rašilo</w:t>
      </w:r>
      <w:proofErr w:type="spellEnd"/>
      <w:r>
        <w:t xml:space="preserve"> a miestami dokonca kvitlo (napr. v okolí Nitry). Nové výhonky nestačia zdrevnatieť a často hynú.</w:t>
      </w:r>
    </w:p>
    <w:p w:rsidR="00BB5E24" w:rsidRDefault="00BB5E24" w:rsidP="00BB5E24">
      <w:r>
        <w:rPr>
          <w:noProof/>
        </w:rPr>
        <w:drawing>
          <wp:inline distT="0" distB="0" distL="0" distR="0">
            <wp:extent cx="5762625" cy="3009900"/>
            <wp:effectExtent l="0" t="0" r="0" b="0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B5E24" w:rsidRDefault="00BB5E24" w:rsidP="00BB5E24">
      <w:pPr>
        <w:pStyle w:val="Popis"/>
        <w:jc w:val="center"/>
      </w:pPr>
      <w:r>
        <w:t xml:space="preserve">Obrázok </w:t>
      </w:r>
      <w:r>
        <w:fldChar w:fldCharType="begin"/>
      </w:r>
      <w:r>
        <w:instrText xml:space="preserve"> SEQ Obrázok \* ARABIC </w:instrText>
      </w:r>
      <w:r>
        <w:fldChar w:fldCharType="separate"/>
      </w:r>
      <w:r>
        <w:rPr>
          <w:noProof/>
        </w:rPr>
        <w:t>29</w:t>
      </w:r>
      <w:r>
        <w:rPr>
          <w:noProof/>
        </w:rPr>
        <w:fldChar w:fldCharType="end"/>
      </w:r>
      <w:r>
        <w:t xml:space="preserve">. Výmera porastov napadnutých </w:t>
      </w:r>
      <w:proofErr w:type="spellStart"/>
      <w:r>
        <w:t>listožravým</w:t>
      </w:r>
      <w:proofErr w:type="spellEnd"/>
      <w:r>
        <w:t xml:space="preserve"> a cicavým hmyzom za roky 1993 až 2012 podľa hlásení o zdravotnom stave lesov</w:t>
      </w:r>
    </w:p>
    <w:p w:rsidR="00BB5E24" w:rsidRDefault="00BB5E24" w:rsidP="00BB5E24">
      <w:pPr>
        <w:spacing w:line="240" w:lineRule="atLeast"/>
        <w:ind w:firstLine="284"/>
        <w:jc w:val="both"/>
        <w:rPr>
          <w:rFonts w:ascii="Verdana" w:hAnsi="Verdana"/>
          <w:sz w:val="20"/>
          <w:szCs w:val="20"/>
        </w:rPr>
      </w:pPr>
      <w:r>
        <w:t xml:space="preserve">V roku 2011 Stredisko lesníckej ochranárskej služby Banská Štiavnica zaznamenalo mierny nárast početnosti </w:t>
      </w:r>
      <w:r>
        <w:rPr>
          <w:b/>
        </w:rPr>
        <w:t xml:space="preserve">mníšky veľkohlavej </w:t>
      </w:r>
      <w:r>
        <w:t>(</w:t>
      </w:r>
      <w:proofErr w:type="spellStart"/>
      <w:r>
        <w:rPr>
          <w:i/>
        </w:rPr>
        <w:t>Lymantria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dispar</w:t>
      </w:r>
      <w:proofErr w:type="spellEnd"/>
      <w:r>
        <w:t xml:space="preserve">) na niektorých lokalitách v okolí Levíc a Nitry. Pracovníci LOS predpokladali, že tento trend bude pokračovať aj v roku 2012. O zistenom stave LOS informovala Sekciu lesného hospodárstva a spracovania dreva MPRV SR a požiadala ju o spoluprácu pri spresnení informácií o škodcovi. V jesenných mesiacoch 2012 bol vykonaný podrobný monitoring početnosti škodcu metodikou navrhnutou LOS. Do zisťovania sa zapojilo celkom 108 OLH. Tí skontrolovali </w:t>
      </w:r>
      <w:r>
        <w:lastRenderedPageBreak/>
        <w:t>početnosť škodcu celkom v 4 454 porastoch, ktoré majú výmeru 32 840 ha. Porasty sa nachádzajú na území 23 obvodných lesných úradov.</w:t>
      </w:r>
      <w:r>
        <w:rPr>
          <w:rFonts w:ascii="Verdana" w:hAnsi="Verdana"/>
          <w:sz w:val="20"/>
          <w:szCs w:val="20"/>
        </w:rPr>
        <w:t xml:space="preserve"> </w:t>
      </w:r>
    </w:p>
    <w:p w:rsidR="00BB5E24" w:rsidRDefault="00BB5E24" w:rsidP="00BB5E24">
      <w:pPr>
        <w:spacing w:line="240" w:lineRule="atLeast"/>
        <w:jc w:val="both"/>
        <w:rPr>
          <w:rFonts w:ascii="Verdana" w:hAnsi="Verdana"/>
          <w:sz w:val="20"/>
          <w:szCs w:val="20"/>
        </w:rPr>
      </w:pPr>
    </w:p>
    <w:p w:rsidR="00BB5E24" w:rsidRDefault="00BB5E24" w:rsidP="00BB5E24">
      <w:pPr>
        <w:pStyle w:val="Popis"/>
      </w:pPr>
      <w:r>
        <w:t xml:space="preserve">Tabuľka </w:t>
      </w:r>
      <w:r>
        <w:fldChar w:fldCharType="begin"/>
      </w:r>
      <w:r>
        <w:instrText xml:space="preserve"> SEQ Tabuľka \* ARABIC </w:instrText>
      </w:r>
      <w: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  <w:r>
        <w:t>. Početnosť znášok mníšky veľkohlavej</w:t>
      </w:r>
    </w:p>
    <w:tbl>
      <w:tblPr>
        <w:tblW w:w="909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0"/>
        <w:gridCol w:w="3030"/>
        <w:gridCol w:w="3030"/>
      </w:tblGrid>
      <w:tr w:rsidR="00BB5E24" w:rsidTr="00BB5E24">
        <w:trPr>
          <w:trHeight w:val="288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E24" w:rsidRDefault="00BB5E2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Interval početnosti znášok na 1 strom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E24" w:rsidRDefault="00BB5E2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Počet porastov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E24" w:rsidRDefault="00BB5E2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Výmera porastov ha</w:t>
            </w:r>
          </w:p>
        </w:tc>
      </w:tr>
      <w:tr w:rsidR="00BB5E24" w:rsidTr="00BB5E24">
        <w:trPr>
          <w:trHeight w:val="288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E24" w:rsidRDefault="00BB5E2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0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E24" w:rsidRDefault="00BB5E2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3521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E24" w:rsidRDefault="00BB5E2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24 873</w:t>
            </w:r>
          </w:p>
        </w:tc>
      </w:tr>
      <w:tr w:rsidR="00BB5E24" w:rsidTr="00BB5E24">
        <w:trPr>
          <w:trHeight w:val="288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E24" w:rsidRDefault="00BB5E2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0,01 - 0,5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E24" w:rsidRDefault="00BB5E2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900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E24" w:rsidRDefault="00BB5E2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7 680</w:t>
            </w:r>
          </w:p>
        </w:tc>
      </w:tr>
      <w:tr w:rsidR="00BB5E24" w:rsidTr="00BB5E24">
        <w:trPr>
          <w:trHeight w:val="288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E24" w:rsidRDefault="00BB5E2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0,5 - 1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E24" w:rsidRDefault="00BB5E2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E24" w:rsidRDefault="00BB5E2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59</w:t>
            </w:r>
          </w:p>
        </w:tc>
      </w:tr>
      <w:tr w:rsidR="00BB5E24" w:rsidTr="00BB5E24">
        <w:trPr>
          <w:trHeight w:val="288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E24" w:rsidRDefault="00BB5E2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1 - 2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E24" w:rsidRDefault="00BB5E2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E24" w:rsidRDefault="00BB5E2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87</w:t>
            </w:r>
          </w:p>
        </w:tc>
      </w:tr>
      <w:tr w:rsidR="00BB5E24" w:rsidTr="00BB5E24">
        <w:trPr>
          <w:trHeight w:val="288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E24" w:rsidRDefault="00BB5E2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 a viac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E24" w:rsidRDefault="00BB5E2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E24" w:rsidRDefault="00BB5E2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138</w:t>
            </w:r>
          </w:p>
        </w:tc>
      </w:tr>
    </w:tbl>
    <w:p w:rsidR="00BB5E24" w:rsidRDefault="00BB5E24" w:rsidP="00BB5E24">
      <w:pPr>
        <w:spacing w:line="240" w:lineRule="atLeast"/>
        <w:jc w:val="both"/>
        <w:rPr>
          <w:rFonts w:ascii="Verdana" w:hAnsi="Verdana"/>
          <w:sz w:val="20"/>
          <w:szCs w:val="20"/>
        </w:rPr>
      </w:pPr>
    </w:p>
    <w:p w:rsidR="00BB5E24" w:rsidRDefault="00BB5E24" w:rsidP="00BB5E24">
      <w:pPr>
        <w:spacing w:line="240" w:lineRule="atLeast"/>
        <w:ind w:firstLine="284"/>
        <w:jc w:val="both"/>
      </w:pPr>
      <w:r>
        <w:t xml:space="preserve">Škodca bol zaznamenaný na celkovej výmere 7 966 hektárov. Prevažuje nízka početnosť (v rozmedzí 0,01 – 0,5 znášok na 1 strom). Vysoká početnosť (nad 2 znášky na jeden strom) bola zistená len na výmere 138 ha. Dá sa teda konštatovať, že napriek tomu že mníška veľkohlavá sa v hláseniach priamo neobjavila v porastoch sa predsa len vyskytovala a to na výmere 284 ha (ak za slabý výskyt považujeme početnosť 0,5 znášky na 100 stromov a viac). Najhoršia situácia je na východe republiky, kde sa v jari 2013 vyskytli aj holožery. </w:t>
      </w:r>
    </w:p>
    <w:p w:rsidR="00BB5E24" w:rsidRDefault="00BB5E24" w:rsidP="00BB5E24">
      <w:pPr>
        <w:spacing w:line="240" w:lineRule="atLeast"/>
        <w:ind w:firstLine="284"/>
        <w:jc w:val="both"/>
        <w:rPr>
          <w:color w:val="FF0000"/>
        </w:rPr>
      </w:pPr>
    </w:p>
    <w:p w:rsidR="00BB5E24" w:rsidRDefault="00BB5E24" w:rsidP="00BB5E24">
      <w:pPr>
        <w:pStyle w:val="Popis"/>
        <w:jc w:val="center"/>
        <w:rPr>
          <w:b/>
          <w:bCs w:val="0"/>
          <w:i/>
          <w:iCs/>
        </w:rPr>
      </w:pPr>
      <w:r>
        <w:rPr>
          <w:b/>
          <w:i/>
          <w:noProof/>
        </w:rPr>
        <w:drawing>
          <wp:inline distT="0" distB="0" distL="0" distR="0">
            <wp:extent cx="5819775" cy="2819400"/>
            <wp:effectExtent l="0" t="0" r="9525" b="0"/>
            <wp:docPr id="1" name="Obrázok 1" descr="Popis: mniska_porasty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Popis: mniska_porasty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Obrázok </w:t>
      </w:r>
      <w:r>
        <w:fldChar w:fldCharType="begin"/>
      </w:r>
      <w:r>
        <w:instrText xml:space="preserve"> SEQ Obrázok \* ARABIC </w:instrText>
      </w:r>
      <w:r>
        <w:fldChar w:fldCharType="separate"/>
      </w:r>
      <w:r>
        <w:rPr>
          <w:noProof/>
        </w:rPr>
        <w:t>30</w:t>
      </w:r>
      <w:r>
        <w:rPr>
          <w:noProof/>
        </w:rPr>
        <w:fldChar w:fldCharType="end"/>
      </w:r>
      <w:r>
        <w:t>. Početnosť znášok mníšky veľkohlavej v porastoch Slovenska v roku 2012 na základe podrobného monitoringu.</w:t>
      </w:r>
    </w:p>
    <w:p w:rsidR="00BB5E24" w:rsidRDefault="00BB5E24" w:rsidP="00BB5E24">
      <w:pPr>
        <w:spacing w:line="240" w:lineRule="atLeast"/>
        <w:jc w:val="both"/>
        <w:rPr>
          <w:color w:val="FF0000"/>
        </w:rPr>
      </w:pPr>
    </w:p>
    <w:p w:rsidR="00BB5E24" w:rsidRDefault="00BB5E24" w:rsidP="00BB5E24">
      <w:pPr>
        <w:spacing w:line="240" w:lineRule="atLeast"/>
        <w:jc w:val="both"/>
        <w:rPr>
          <w:color w:val="FF0000"/>
        </w:rPr>
      </w:pPr>
      <w:r>
        <w:rPr>
          <w:noProof/>
          <w:color w:val="FF0000"/>
        </w:rPr>
        <w:lastRenderedPageBreak/>
        <w:drawing>
          <wp:inline distT="0" distB="0" distL="0" distR="0">
            <wp:extent cx="5762625" cy="3324225"/>
            <wp:effectExtent l="0" t="0" r="0" b="0"/>
            <wp:docPr id="134" name="Graf 1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B5E24" w:rsidRDefault="00BB5E24" w:rsidP="00BB5E24">
      <w:pPr>
        <w:spacing w:line="240" w:lineRule="atLeast"/>
        <w:jc w:val="both"/>
        <w:rPr>
          <w:color w:val="FF0000"/>
        </w:rPr>
      </w:pPr>
    </w:p>
    <w:p w:rsidR="00BB5E24" w:rsidRDefault="00BB5E24" w:rsidP="00BB5E24">
      <w:pPr>
        <w:pStyle w:val="Popis"/>
        <w:jc w:val="center"/>
        <w:rPr>
          <w:szCs w:val="24"/>
        </w:rPr>
      </w:pPr>
      <w:r>
        <w:t xml:space="preserve">Obrázok </w:t>
      </w:r>
      <w:r>
        <w:fldChar w:fldCharType="begin"/>
      </w:r>
      <w:r>
        <w:instrText xml:space="preserve"> SEQ Obrázok \* ARABIC </w:instrText>
      </w:r>
      <w:r>
        <w:fldChar w:fldCharType="separate"/>
      </w:r>
      <w:r>
        <w:rPr>
          <w:noProof/>
        </w:rPr>
        <w:t>31</w:t>
      </w:r>
      <w:r>
        <w:rPr>
          <w:noProof/>
        </w:rPr>
        <w:fldChar w:fldCharType="end"/>
      </w:r>
      <w:r>
        <w:t xml:space="preserve">. </w:t>
      </w:r>
      <w:r>
        <w:rPr>
          <w:szCs w:val="24"/>
        </w:rPr>
        <w:t>Vývoj poškodenia lesov mníškou veľkohlavou od roku 1972 s prognózou pre rok 2013</w:t>
      </w:r>
    </w:p>
    <w:p w:rsidR="00BB5E24" w:rsidRDefault="00BB5E24" w:rsidP="00BB5E24">
      <w:pPr>
        <w:pStyle w:val="Popis"/>
      </w:pPr>
    </w:p>
    <w:p w:rsidR="00BB5E24" w:rsidRDefault="00BB5E24" w:rsidP="00BB5E24">
      <w:pPr>
        <w:pStyle w:val="Popis"/>
      </w:pPr>
      <w:r>
        <w:t xml:space="preserve">Tabuľka </w:t>
      </w:r>
      <w:r>
        <w:fldChar w:fldCharType="begin"/>
      </w:r>
      <w:r>
        <w:instrText xml:space="preserve"> SEQ Tabuľka \* ARABIC </w:instrText>
      </w:r>
      <w: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  <w:r>
        <w:t>. Štruktúra náhodných ťažieb spôsobených rôznymi biotickými činiteľmi v roku 2012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9"/>
        <w:gridCol w:w="642"/>
        <w:gridCol w:w="643"/>
        <w:gridCol w:w="643"/>
        <w:gridCol w:w="598"/>
        <w:gridCol w:w="598"/>
        <w:gridCol w:w="598"/>
        <w:gridCol w:w="599"/>
        <w:gridCol w:w="599"/>
        <w:gridCol w:w="599"/>
        <w:gridCol w:w="599"/>
        <w:gridCol w:w="599"/>
        <w:gridCol w:w="586"/>
      </w:tblGrid>
      <w:tr w:rsidR="00BB5E24" w:rsidTr="00BB5E24">
        <w:trPr>
          <w:trHeight w:val="315"/>
        </w:trPr>
        <w:tc>
          <w:tcPr>
            <w:tcW w:w="103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BB5E24" w:rsidRDefault="00BB5E24">
            <w:pPr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Rôzne biotické činitele</w:t>
            </w:r>
          </w:p>
        </w:tc>
        <w:tc>
          <w:tcPr>
            <w:tcW w:w="104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BB5E24" w:rsidRDefault="00BB5E24">
            <w:pPr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NV - náhodná vykonaná</w:t>
            </w:r>
          </w:p>
        </w:tc>
        <w:tc>
          <w:tcPr>
            <w:tcW w:w="97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B5E24" w:rsidRDefault="00BB5E24">
            <w:pPr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NN - náhodná nevykonaná</w:t>
            </w:r>
          </w:p>
        </w:tc>
        <w:tc>
          <w:tcPr>
            <w:tcW w:w="97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B5E24" w:rsidRDefault="00BB5E24">
            <w:pPr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NP -náhodná ťažba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vyk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. s ponechaním dreva v poraste</w:t>
            </w:r>
          </w:p>
        </w:tc>
        <w:tc>
          <w:tcPr>
            <w:tcW w:w="97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B5E24" w:rsidRDefault="00BB5E24">
            <w:pPr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Spolu</w:t>
            </w:r>
          </w:p>
        </w:tc>
      </w:tr>
      <w:tr w:rsidR="00BB5E24" w:rsidTr="00BB5E24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5E24" w:rsidRDefault="00BB5E24">
            <w:pPr>
              <w:spacing w:before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E24" w:rsidRDefault="00BB5E24">
            <w:pPr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ihl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E24" w:rsidRDefault="00BB5E24">
            <w:pPr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list.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E24" w:rsidRDefault="00BB5E24">
            <w:pPr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Spolu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E24" w:rsidRDefault="00BB5E24">
            <w:pPr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ihl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E24" w:rsidRDefault="00BB5E24">
            <w:pPr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list.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E24" w:rsidRDefault="00BB5E24">
            <w:pPr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Spolu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E24" w:rsidRDefault="00BB5E24">
            <w:pPr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ihl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E24" w:rsidRDefault="00BB5E24">
            <w:pPr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list.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E24" w:rsidRDefault="00BB5E24">
            <w:pPr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Spolu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E24" w:rsidRDefault="00BB5E24">
            <w:pPr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ihl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E24" w:rsidRDefault="00BB5E24">
            <w:pPr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list.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E24" w:rsidRDefault="00BB5E24">
            <w:pPr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Spolu</w:t>
            </w:r>
          </w:p>
        </w:tc>
      </w:tr>
      <w:tr w:rsidR="00BB5E24" w:rsidTr="00BB5E24">
        <w:trPr>
          <w:trHeight w:val="315"/>
        </w:trPr>
        <w:tc>
          <w:tcPr>
            <w:tcW w:w="10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E24" w:rsidRDefault="00BB5E24">
            <w:pPr>
              <w:spacing w:before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Kôrovnica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kaukazská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282</w:t>
            </w:r>
          </w:p>
        </w:tc>
      </w:tr>
      <w:tr w:rsidR="00BB5E24" w:rsidTr="00BB5E24">
        <w:trPr>
          <w:trHeight w:val="315"/>
        </w:trPr>
        <w:tc>
          <w:tcPr>
            <w:tcW w:w="10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E24" w:rsidRDefault="00BB5E24">
            <w:pPr>
              <w:spacing w:before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Rúrkovček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smrekovcový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61</w:t>
            </w:r>
          </w:p>
        </w:tc>
      </w:tr>
      <w:tr w:rsidR="00BB5E24" w:rsidTr="00BB5E24">
        <w:trPr>
          <w:trHeight w:val="315"/>
        </w:trPr>
        <w:tc>
          <w:tcPr>
            <w:tcW w:w="10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E24" w:rsidRDefault="00BB5E24">
            <w:pPr>
              <w:spacing w:before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Iný listožravý hmyz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2 112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2 201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2 112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2 201</w:t>
            </w:r>
          </w:p>
        </w:tc>
      </w:tr>
      <w:tr w:rsidR="00BB5E24" w:rsidTr="00BB5E24">
        <w:trPr>
          <w:trHeight w:val="315"/>
        </w:trPr>
        <w:tc>
          <w:tcPr>
            <w:tcW w:w="10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E24" w:rsidRDefault="00BB5E24">
            <w:pPr>
              <w:spacing w:before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Obhryz a lúpanie zverou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659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1 700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2 359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659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1 700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2 359</w:t>
            </w:r>
          </w:p>
        </w:tc>
      </w:tr>
      <w:tr w:rsidR="00BB5E24" w:rsidTr="00BB5E24">
        <w:trPr>
          <w:trHeight w:val="315"/>
        </w:trPr>
        <w:tc>
          <w:tcPr>
            <w:tcW w:w="10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E24" w:rsidRDefault="00BB5E24">
            <w:pPr>
              <w:spacing w:before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Odhryz zverou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400</w:t>
            </w:r>
          </w:p>
        </w:tc>
      </w:tr>
      <w:tr w:rsidR="00BB5E24" w:rsidTr="00BB5E24">
        <w:trPr>
          <w:trHeight w:val="315"/>
        </w:trPr>
        <w:tc>
          <w:tcPr>
            <w:tcW w:w="10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E24" w:rsidRDefault="00BB5E24">
            <w:pPr>
              <w:spacing w:before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Hlodavce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59</w:t>
            </w:r>
          </w:p>
        </w:tc>
      </w:tr>
      <w:tr w:rsidR="00BB5E24" w:rsidTr="00BB5E24">
        <w:trPr>
          <w:trHeight w:val="315"/>
        </w:trPr>
        <w:tc>
          <w:tcPr>
            <w:tcW w:w="10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E24" w:rsidRDefault="00BB5E24">
            <w:pPr>
              <w:spacing w:before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Burina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</w:tr>
      <w:tr w:rsidR="00BB5E24" w:rsidTr="00BB5E24">
        <w:trPr>
          <w:trHeight w:val="315"/>
        </w:trPr>
        <w:tc>
          <w:tcPr>
            <w:tcW w:w="10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E24" w:rsidRDefault="00BB5E24">
            <w:pPr>
              <w:spacing w:before="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Iné biotické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3 076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3 486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3 076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3 486</w:t>
            </w:r>
          </w:p>
        </w:tc>
      </w:tr>
      <w:tr w:rsidR="00BB5E24" w:rsidTr="00BB5E24">
        <w:trPr>
          <w:trHeight w:val="315"/>
        </w:trPr>
        <w:tc>
          <w:tcPr>
            <w:tcW w:w="10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E24" w:rsidRDefault="00BB5E24">
            <w:pPr>
              <w:spacing w:before="0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Spolu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6 570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2 258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8 828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6 596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2 261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E24" w:rsidRDefault="00BB5E24">
            <w:pPr>
              <w:spacing w:before="0"/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8 857</w:t>
            </w:r>
          </w:p>
        </w:tc>
      </w:tr>
    </w:tbl>
    <w:p w:rsidR="00446EAB" w:rsidRDefault="00446EAB"/>
    <w:sectPr w:rsidR="00446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90F27"/>
    <w:multiLevelType w:val="multilevel"/>
    <w:tmpl w:val="081C7710"/>
    <w:lvl w:ilvl="0">
      <w:start w:val="1"/>
      <w:numFmt w:val="decimal"/>
      <w:pStyle w:val="Nadpis1"/>
      <w:lvlText w:val="%1"/>
      <w:lvlJc w:val="left"/>
      <w:pPr>
        <w:tabs>
          <w:tab w:val="num" w:pos="1283"/>
        </w:tabs>
        <w:ind w:left="1283" w:hanging="432"/>
      </w:pPr>
      <w:rPr>
        <w:b/>
        <w:i w:val="0"/>
        <w:sz w:val="24"/>
        <w:szCs w:val="24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427"/>
        </w:tabs>
        <w:ind w:left="1427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1715"/>
        </w:tabs>
        <w:ind w:left="1715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859"/>
        </w:tabs>
        <w:ind w:left="1859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2003"/>
        </w:tabs>
        <w:ind w:left="2003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147"/>
        </w:tabs>
        <w:ind w:left="2147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435"/>
        </w:tabs>
        <w:ind w:left="2435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E24"/>
    <w:rsid w:val="00446EAB"/>
    <w:rsid w:val="00BB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B5E2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BB5E24"/>
    <w:pPr>
      <w:keepNext/>
      <w:numPr>
        <w:numId w:val="1"/>
      </w:numPr>
      <w:outlineLvl w:val="0"/>
    </w:pPr>
    <w:rPr>
      <w:rFonts w:cs="Arial"/>
      <w:b/>
      <w:bCs/>
      <w:smallCaps/>
      <w:kern w:val="32"/>
      <w:szCs w:val="28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BB5E24"/>
    <w:pPr>
      <w:keepNext/>
      <w:numPr>
        <w:ilvl w:val="1"/>
        <w:numId w:val="1"/>
      </w:numPr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y"/>
    <w:next w:val="Normlny"/>
    <w:link w:val="Nadpis3Char"/>
    <w:uiPriority w:val="99"/>
    <w:semiHidden/>
    <w:unhideWhenUsed/>
    <w:qFormat/>
    <w:rsid w:val="00BB5E24"/>
    <w:pPr>
      <w:keepNext/>
      <w:numPr>
        <w:ilvl w:val="2"/>
        <w:numId w:val="1"/>
      </w:numPr>
      <w:tabs>
        <w:tab w:val="left" w:pos="851"/>
      </w:tabs>
      <w:outlineLvl w:val="2"/>
    </w:pPr>
    <w:rPr>
      <w:rFonts w:cs="Arial"/>
      <w:bCs/>
      <w:i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BB5E24"/>
    <w:pPr>
      <w:keepNext/>
      <w:numPr>
        <w:ilvl w:val="3"/>
        <w:numId w:val="1"/>
      </w:numPr>
      <w:outlineLvl w:val="3"/>
    </w:pPr>
    <w:rPr>
      <w:bCs/>
      <w:spacing w:val="20"/>
      <w:sz w:val="22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BB5E24"/>
    <w:pPr>
      <w:numPr>
        <w:ilvl w:val="4"/>
        <w:numId w:val="1"/>
      </w:numPr>
      <w:outlineLvl w:val="4"/>
    </w:pPr>
    <w:rPr>
      <w:bCs/>
      <w:i/>
      <w:iCs/>
      <w:sz w:val="22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BB5E2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BB5E24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semiHidden/>
    <w:unhideWhenUsed/>
    <w:qFormat/>
    <w:rsid w:val="00BB5E2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BB5E2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B5E24"/>
    <w:rPr>
      <w:rFonts w:ascii="Times New Roman" w:eastAsia="Times New Roman" w:hAnsi="Times New Roman" w:cs="Arial"/>
      <w:b/>
      <w:bCs/>
      <w:smallCaps/>
      <w:kern w:val="32"/>
      <w:sz w:val="24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BB5E24"/>
    <w:rPr>
      <w:rFonts w:ascii="Times New Roman" w:eastAsia="Times New Roman" w:hAnsi="Times New Roman" w:cs="Arial"/>
      <w:b/>
      <w:bCs/>
      <w:iCs/>
      <w:sz w:val="24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semiHidden/>
    <w:rsid w:val="00BB5E24"/>
    <w:rPr>
      <w:rFonts w:ascii="Times New Roman" w:eastAsia="Times New Roman" w:hAnsi="Times New Roman" w:cs="Arial"/>
      <w:bCs/>
      <w:i/>
      <w:sz w:val="24"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BB5E24"/>
    <w:rPr>
      <w:rFonts w:ascii="Times New Roman" w:eastAsia="Times New Roman" w:hAnsi="Times New Roman" w:cs="Times New Roman"/>
      <w:bCs/>
      <w:spacing w:val="20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BB5E24"/>
    <w:rPr>
      <w:rFonts w:ascii="Times New Roman" w:eastAsia="Times New Roman" w:hAnsi="Times New Roman" w:cs="Times New Roman"/>
      <w:bCs/>
      <w:i/>
      <w:iCs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BB5E24"/>
    <w:rPr>
      <w:rFonts w:ascii="Times New Roman" w:eastAsia="Times New Roman" w:hAnsi="Times New Roman" w:cs="Times New Roman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BB5E24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BB5E24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BB5E24"/>
    <w:rPr>
      <w:rFonts w:ascii="Arial" w:eastAsia="Times New Roman" w:hAnsi="Arial" w:cs="Arial"/>
      <w:lang w:eastAsia="sk-SK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BB5E24"/>
    <w:pPr>
      <w:jc w:val="both"/>
    </w:pPr>
    <w:rPr>
      <w:bCs/>
      <w:szCs w:val="20"/>
    </w:rPr>
  </w:style>
  <w:style w:type="character" w:customStyle="1" w:styleId="st1">
    <w:name w:val="st1"/>
    <w:basedOn w:val="Predvolenpsmoodseku"/>
    <w:rsid w:val="00BB5E24"/>
  </w:style>
  <w:style w:type="paragraph" w:styleId="Textbubliny">
    <w:name w:val="Balloon Text"/>
    <w:basedOn w:val="Normlny"/>
    <w:link w:val="TextbublinyChar"/>
    <w:uiPriority w:val="99"/>
    <w:semiHidden/>
    <w:unhideWhenUsed/>
    <w:rsid w:val="00BB5E24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5E24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B5E2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BB5E24"/>
    <w:pPr>
      <w:keepNext/>
      <w:numPr>
        <w:numId w:val="1"/>
      </w:numPr>
      <w:outlineLvl w:val="0"/>
    </w:pPr>
    <w:rPr>
      <w:rFonts w:cs="Arial"/>
      <w:b/>
      <w:bCs/>
      <w:smallCaps/>
      <w:kern w:val="32"/>
      <w:szCs w:val="28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BB5E24"/>
    <w:pPr>
      <w:keepNext/>
      <w:numPr>
        <w:ilvl w:val="1"/>
        <w:numId w:val="1"/>
      </w:numPr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y"/>
    <w:next w:val="Normlny"/>
    <w:link w:val="Nadpis3Char"/>
    <w:uiPriority w:val="99"/>
    <w:semiHidden/>
    <w:unhideWhenUsed/>
    <w:qFormat/>
    <w:rsid w:val="00BB5E24"/>
    <w:pPr>
      <w:keepNext/>
      <w:numPr>
        <w:ilvl w:val="2"/>
        <w:numId w:val="1"/>
      </w:numPr>
      <w:tabs>
        <w:tab w:val="left" w:pos="851"/>
      </w:tabs>
      <w:outlineLvl w:val="2"/>
    </w:pPr>
    <w:rPr>
      <w:rFonts w:cs="Arial"/>
      <w:bCs/>
      <w:i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BB5E24"/>
    <w:pPr>
      <w:keepNext/>
      <w:numPr>
        <w:ilvl w:val="3"/>
        <w:numId w:val="1"/>
      </w:numPr>
      <w:outlineLvl w:val="3"/>
    </w:pPr>
    <w:rPr>
      <w:bCs/>
      <w:spacing w:val="20"/>
      <w:sz w:val="22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BB5E24"/>
    <w:pPr>
      <w:numPr>
        <w:ilvl w:val="4"/>
        <w:numId w:val="1"/>
      </w:numPr>
      <w:outlineLvl w:val="4"/>
    </w:pPr>
    <w:rPr>
      <w:bCs/>
      <w:i/>
      <w:iCs/>
      <w:sz w:val="22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BB5E2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BB5E24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semiHidden/>
    <w:unhideWhenUsed/>
    <w:qFormat/>
    <w:rsid w:val="00BB5E2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BB5E2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B5E24"/>
    <w:rPr>
      <w:rFonts w:ascii="Times New Roman" w:eastAsia="Times New Roman" w:hAnsi="Times New Roman" w:cs="Arial"/>
      <w:b/>
      <w:bCs/>
      <w:smallCaps/>
      <w:kern w:val="32"/>
      <w:sz w:val="24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BB5E24"/>
    <w:rPr>
      <w:rFonts w:ascii="Times New Roman" w:eastAsia="Times New Roman" w:hAnsi="Times New Roman" w:cs="Arial"/>
      <w:b/>
      <w:bCs/>
      <w:iCs/>
      <w:sz w:val="24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semiHidden/>
    <w:rsid w:val="00BB5E24"/>
    <w:rPr>
      <w:rFonts w:ascii="Times New Roman" w:eastAsia="Times New Roman" w:hAnsi="Times New Roman" w:cs="Arial"/>
      <w:bCs/>
      <w:i/>
      <w:sz w:val="24"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BB5E24"/>
    <w:rPr>
      <w:rFonts w:ascii="Times New Roman" w:eastAsia="Times New Roman" w:hAnsi="Times New Roman" w:cs="Times New Roman"/>
      <w:bCs/>
      <w:spacing w:val="20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BB5E24"/>
    <w:rPr>
      <w:rFonts w:ascii="Times New Roman" w:eastAsia="Times New Roman" w:hAnsi="Times New Roman" w:cs="Times New Roman"/>
      <w:bCs/>
      <w:i/>
      <w:iCs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BB5E24"/>
    <w:rPr>
      <w:rFonts w:ascii="Times New Roman" w:eastAsia="Times New Roman" w:hAnsi="Times New Roman" w:cs="Times New Roman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BB5E24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BB5E24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BB5E24"/>
    <w:rPr>
      <w:rFonts w:ascii="Arial" w:eastAsia="Times New Roman" w:hAnsi="Arial" w:cs="Arial"/>
      <w:lang w:eastAsia="sk-SK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BB5E24"/>
    <w:pPr>
      <w:jc w:val="both"/>
    </w:pPr>
    <w:rPr>
      <w:bCs/>
      <w:szCs w:val="20"/>
    </w:rPr>
  </w:style>
  <w:style w:type="character" w:customStyle="1" w:styleId="st1">
    <w:name w:val="st1"/>
    <w:basedOn w:val="Predvolenpsmoodseku"/>
    <w:rsid w:val="00BB5E24"/>
  </w:style>
  <w:style w:type="paragraph" w:styleId="Textbubliny">
    <w:name w:val="Balloon Text"/>
    <w:basedOn w:val="Normlny"/>
    <w:link w:val="TextbublinyChar"/>
    <w:uiPriority w:val="99"/>
    <w:semiHidden/>
    <w:unhideWhenUsed/>
    <w:rsid w:val="00BB5E24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5E24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ISK1\LOS.447\EVIDENCIA%20NAHODNEJ%20TAZBY%20A%20SKODCOV%20GRAFY\VSETKO%20SPOLU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ISK1\LOS.447\EVIDENCIA%20NAHODNEJ%20TAZBY%20A%20SKODCOV%20GRAFY\VSETKO%20SPOLU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5372192575900992"/>
          <c:y val="9.1549295774648098E-2"/>
          <c:w val="0.8236258969614435"/>
          <c:h val="0.71830985915492962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Pt>
            <c:idx val="17"/>
            <c:invertIfNegative val="0"/>
            <c:bubble3D val="0"/>
            <c:spPr>
              <a:solidFill>
                <a:schemeClr val="accent2"/>
              </a:solidFill>
            </c:spPr>
          </c:dPt>
          <c:dPt>
            <c:idx val="18"/>
            <c:invertIfNegative val="0"/>
            <c:bubble3D val="0"/>
            <c:spPr>
              <a:solidFill>
                <a:schemeClr val="accent2"/>
              </a:solidFill>
            </c:spPr>
          </c:dPt>
          <c:dPt>
            <c:idx val="19"/>
            <c:invertIfNegative val="0"/>
            <c:bubble3D val="0"/>
            <c:spPr>
              <a:solidFill>
                <a:schemeClr val="accent3"/>
              </a:solidFill>
            </c:spPr>
          </c:dPt>
          <c:cat>
            <c:numRef>
              <c:f>listožravce!$A$17:$A$36</c:f>
              <c:numCache>
                <c:formatCode>General</c:formatCode>
                <c:ptCount val="20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</c:numCache>
            </c:numRef>
          </c:cat>
          <c:val>
            <c:numRef>
              <c:f>listožravce!$B$17:$B$36</c:f>
              <c:numCache>
                <c:formatCode>#,##0</c:formatCode>
                <c:ptCount val="20"/>
                <c:pt idx="0">
                  <c:v>21792</c:v>
                </c:pt>
                <c:pt idx="1">
                  <c:v>17016</c:v>
                </c:pt>
                <c:pt idx="2">
                  <c:v>9993</c:v>
                </c:pt>
                <c:pt idx="3">
                  <c:v>20838</c:v>
                </c:pt>
                <c:pt idx="4">
                  <c:v>14446</c:v>
                </c:pt>
                <c:pt idx="5">
                  <c:v>10344</c:v>
                </c:pt>
                <c:pt idx="6">
                  <c:v>8876</c:v>
                </c:pt>
                <c:pt idx="7">
                  <c:v>3645</c:v>
                </c:pt>
                <c:pt idx="8">
                  <c:v>7899</c:v>
                </c:pt>
                <c:pt idx="9">
                  <c:v>3546</c:v>
                </c:pt>
                <c:pt idx="10">
                  <c:v>12812</c:v>
                </c:pt>
                <c:pt idx="11">
                  <c:v>32051</c:v>
                </c:pt>
                <c:pt idx="12">
                  <c:v>16401</c:v>
                </c:pt>
                <c:pt idx="13">
                  <c:v>9441</c:v>
                </c:pt>
                <c:pt idx="14">
                  <c:v>837</c:v>
                </c:pt>
                <c:pt idx="15">
                  <c:v>587</c:v>
                </c:pt>
                <c:pt idx="16">
                  <c:v>583</c:v>
                </c:pt>
                <c:pt idx="17">
                  <c:v>0</c:v>
                </c:pt>
                <c:pt idx="18">
                  <c:v>0</c:v>
                </c:pt>
                <c:pt idx="19">
                  <c:v>2544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120128"/>
        <c:axId val="149121664"/>
      </c:barChart>
      <c:catAx>
        <c:axId val="149120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sk-SK"/>
          </a:p>
        </c:txPr>
        <c:crossAx val="1491216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9121664"/>
        <c:scaling>
          <c:orientation val="minMax"/>
          <c:min val="0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sk-SK"/>
                  <a:t>[ha]</a:t>
                </a:r>
              </a:p>
            </c:rich>
          </c:tx>
          <c:layout>
            <c:manualLayout>
              <c:xMode val="edge"/>
              <c:yMode val="edge"/>
              <c:x val="1.2944983818770227E-2"/>
              <c:y val="0.11619718309859156"/>
            </c:manualLayout>
          </c:layout>
          <c:overlay val="0"/>
        </c:title>
        <c:numFmt formatCode="#,##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sk-SK"/>
          </a:p>
        </c:txPr>
        <c:crossAx val="149120128"/>
        <c:crosses val="autoZero"/>
        <c:crossBetween val="between"/>
      </c:valAx>
      <c:spPr>
        <a:solidFill>
          <a:schemeClr val="lt1"/>
        </a:solidFill>
        <a:ln w="6350" cap="flat" cmpd="sng" algn="ctr">
          <a:solidFill>
            <a:schemeClr val="tx1"/>
          </a:solidFill>
          <a:prstDash val="solid"/>
        </a:ln>
        <a:effectLst/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1250000000000026E-2"/>
          <c:y val="4.0302316571449712E-2"/>
          <c:w val="0.89124999999999999"/>
          <c:h val="0.84886754278615839"/>
        </c:manualLayout>
      </c:layout>
      <c:barChart>
        <c:barDir val="col"/>
        <c:grouping val="clustered"/>
        <c:varyColors val="0"/>
        <c:ser>
          <c:idx val="1"/>
          <c:order val="0"/>
          <c:invertIfNegative val="0"/>
          <c:dPt>
            <c:idx val="41"/>
            <c:invertIfNegative val="0"/>
            <c:bubble3D val="0"/>
            <c:spPr>
              <a:solidFill>
                <a:schemeClr val="accent3"/>
              </a:solidFill>
            </c:spPr>
          </c:dPt>
          <c:dLbls>
            <c:delete val="1"/>
          </c:dLbls>
          <c:cat>
            <c:numRef>
              <c:f>'Mníška veľkohlavá'!$A$3:$A$44</c:f>
              <c:numCache>
                <c:formatCode>General</c:formatCode>
                <c:ptCount val="42"/>
                <c:pt idx="0">
                  <c:v>1972</c:v>
                </c:pt>
                <c:pt idx="1">
                  <c:v>1973</c:v>
                </c:pt>
                <c:pt idx="2">
                  <c:v>1974</c:v>
                </c:pt>
                <c:pt idx="3">
                  <c:v>1975</c:v>
                </c:pt>
                <c:pt idx="4">
                  <c:v>1976</c:v>
                </c:pt>
                <c:pt idx="5">
                  <c:v>1977</c:v>
                </c:pt>
                <c:pt idx="6">
                  <c:v>1978</c:v>
                </c:pt>
                <c:pt idx="7">
                  <c:v>1979</c:v>
                </c:pt>
                <c:pt idx="8">
                  <c:v>1980</c:v>
                </c:pt>
                <c:pt idx="9">
                  <c:v>1981</c:v>
                </c:pt>
                <c:pt idx="10">
                  <c:v>1982</c:v>
                </c:pt>
                <c:pt idx="11">
                  <c:v>1983</c:v>
                </c:pt>
                <c:pt idx="12">
                  <c:v>1984</c:v>
                </c:pt>
                <c:pt idx="13">
                  <c:v>1985</c:v>
                </c:pt>
                <c:pt idx="14">
                  <c:v>1986</c:v>
                </c:pt>
                <c:pt idx="15">
                  <c:v>1987</c:v>
                </c:pt>
                <c:pt idx="16">
                  <c:v>1988</c:v>
                </c:pt>
                <c:pt idx="17">
                  <c:v>1989</c:v>
                </c:pt>
                <c:pt idx="18">
                  <c:v>1990</c:v>
                </c:pt>
                <c:pt idx="19">
                  <c:v>1991</c:v>
                </c:pt>
                <c:pt idx="20">
                  <c:v>1992</c:v>
                </c:pt>
                <c:pt idx="21">
                  <c:v>1993</c:v>
                </c:pt>
                <c:pt idx="22">
                  <c:v>1994</c:v>
                </c:pt>
                <c:pt idx="23">
                  <c:v>1995</c:v>
                </c:pt>
                <c:pt idx="24">
                  <c:v>1996</c:v>
                </c:pt>
                <c:pt idx="25">
                  <c:v>1997</c:v>
                </c:pt>
                <c:pt idx="26">
                  <c:v>1998</c:v>
                </c:pt>
                <c:pt idx="27">
                  <c:v>1999</c:v>
                </c:pt>
                <c:pt idx="28">
                  <c:v>2000</c:v>
                </c:pt>
                <c:pt idx="29">
                  <c:v>2001</c:v>
                </c:pt>
                <c:pt idx="30">
                  <c:v>2002</c:v>
                </c:pt>
                <c:pt idx="31">
                  <c:v>2003</c:v>
                </c:pt>
                <c:pt idx="32">
                  <c:v>2004</c:v>
                </c:pt>
                <c:pt idx="33">
                  <c:v>2005</c:v>
                </c:pt>
                <c:pt idx="34">
                  <c:v>2006</c:v>
                </c:pt>
                <c:pt idx="35">
                  <c:v>2007</c:v>
                </c:pt>
                <c:pt idx="36">
                  <c:v>2008</c:v>
                </c:pt>
                <c:pt idx="37">
                  <c:v>2009</c:v>
                </c:pt>
                <c:pt idx="38">
                  <c:v>2010</c:v>
                </c:pt>
                <c:pt idx="39">
                  <c:v>2011</c:v>
                </c:pt>
                <c:pt idx="40">
                  <c:v>2012</c:v>
                </c:pt>
                <c:pt idx="41">
                  <c:v>2013</c:v>
                </c:pt>
              </c:numCache>
            </c:numRef>
          </c:cat>
          <c:val>
            <c:numRef>
              <c:f>'Mníška veľkohlavá'!$B$3:$B$44</c:f>
              <c:numCache>
                <c:formatCode>#,##0</c:formatCode>
                <c:ptCount val="42"/>
                <c:pt idx="0">
                  <c:v>1502</c:v>
                </c:pt>
                <c:pt idx="1">
                  <c:v>1165</c:v>
                </c:pt>
                <c:pt idx="2">
                  <c:v>1513</c:v>
                </c:pt>
                <c:pt idx="3">
                  <c:v>1104</c:v>
                </c:pt>
                <c:pt idx="4">
                  <c:v>145</c:v>
                </c:pt>
                <c:pt idx="5">
                  <c:v>274</c:v>
                </c:pt>
                <c:pt idx="6">
                  <c:v>71</c:v>
                </c:pt>
                <c:pt idx="7">
                  <c:v>14</c:v>
                </c:pt>
                <c:pt idx="8">
                  <c:v>35</c:v>
                </c:pt>
                <c:pt idx="9">
                  <c:v>50</c:v>
                </c:pt>
                <c:pt idx="10">
                  <c:v>36</c:v>
                </c:pt>
                <c:pt idx="11">
                  <c:v>372</c:v>
                </c:pt>
                <c:pt idx="12">
                  <c:v>2436</c:v>
                </c:pt>
                <c:pt idx="13">
                  <c:v>3710</c:v>
                </c:pt>
                <c:pt idx="14">
                  <c:v>812</c:v>
                </c:pt>
                <c:pt idx="15">
                  <c:v>1123</c:v>
                </c:pt>
                <c:pt idx="16">
                  <c:v>795</c:v>
                </c:pt>
                <c:pt idx="17">
                  <c:v>229</c:v>
                </c:pt>
                <c:pt idx="18">
                  <c:v>258</c:v>
                </c:pt>
                <c:pt idx="19">
                  <c:v>37</c:v>
                </c:pt>
                <c:pt idx="20">
                  <c:v>2392</c:v>
                </c:pt>
                <c:pt idx="21">
                  <c:v>15708</c:v>
                </c:pt>
                <c:pt idx="22">
                  <c:v>12589</c:v>
                </c:pt>
                <c:pt idx="23">
                  <c:v>1521</c:v>
                </c:pt>
                <c:pt idx="24">
                  <c:v>290</c:v>
                </c:pt>
                <c:pt idx="25">
                  <c:v>423</c:v>
                </c:pt>
                <c:pt idx="26">
                  <c:v>448</c:v>
                </c:pt>
                <c:pt idx="27">
                  <c:v>231</c:v>
                </c:pt>
                <c:pt idx="28">
                  <c:v>70</c:v>
                </c:pt>
                <c:pt idx="29">
                  <c:v>135</c:v>
                </c:pt>
                <c:pt idx="30">
                  <c:v>1000</c:v>
                </c:pt>
                <c:pt idx="31">
                  <c:v>8931</c:v>
                </c:pt>
                <c:pt idx="32">
                  <c:v>21304</c:v>
                </c:pt>
                <c:pt idx="33">
                  <c:v>13498</c:v>
                </c:pt>
                <c:pt idx="34">
                  <c:v>6025</c:v>
                </c:pt>
                <c:pt idx="35">
                  <c:v>45</c:v>
                </c:pt>
                <c:pt idx="36">
                  <c:v>5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284</c:v>
                </c:pt>
                <c:pt idx="41">
                  <c:v>1500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5"/>
        <c:overlap val="23"/>
        <c:axId val="149155200"/>
        <c:axId val="150606976"/>
      </c:barChart>
      <c:catAx>
        <c:axId val="149155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k-SK"/>
          </a:p>
        </c:txPr>
        <c:crossAx val="150606976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50606976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 algn="ctr"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sk-SK"/>
                  <a:t>[ha]</a:t>
                </a:r>
              </a:p>
            </c:rich>
          </c:tx>
          <c:layout>
            <c:manualLayout>
              <c:xMode val="edge"/>
              <c:yMode val="edge"/>
              <c:x val="6.2500000000000134E-3"/>
              <c:y val="8.0604534005037795E-2"/>
            </c:manualLayout>
          </c:layout>
          <c:overlay val="0"/>
          <c:spPr>
            <a:noFill/>
            <a:ln w="25400">
              <a:noFill/>
            </a:ln>
          </c:spPr>
        </c:title>
        <c:numFmt formatCode="#,##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k-SK"/>
          </a:p>
        </c:txPr>
        <c:crossAx val="14915520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k-SK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iki Page" ma:contentTypeID="0x01010800E7DA7377B29A134181D844E45F3A9D03" ma:contentTypeVersion="0" ma:contentTypeDescription="Create a new wiki page." ma:contentTypeScope="" ma:versionID="2bf5868b8052e98adc77a7d56271a4f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e79e4192275310a927bd3bd96982ee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Wiki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ikiField" ma:index="7" nillable="true" ma:displayName="Obsah Wiki" ma:internalName="WikiField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WikiEditForm</Display>
  <Edit>WikiEditForm</Edit>
  <New>WikiEditForm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kiFiel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1613D5-217A-4187-8141-1BCBE407D7DD}"/>
</file>

<file path=customXml/itemProps2.xml><?xml version="1.0" encoding="utf-8"?>
<ds:datastoreItem xmlns:ds="http://schemas.openxmlformats.org/officeDocument/2006/customXml" ds:itemID="{4BF761E5-1478-47B2-8064-DBA0F72D8E1F}"/>
</file>

<file path=customXml/itemProps3.xml><?xml version="1.0" encoding="utf-8"?>
<ds:datastoreItem xmlns:ds="http://schemas.openxmlformats.org/officeDocument/2006/customXml" ds:itemID="{AEE26608-552B-43FE-9171-33989C405F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Vakula</dc:creator>
  <cp:lastModifiedBy>Vakula</cp:lastModifiedBy>
  <cp:revision>1</cp:revision>
  <dcterms:created xsi:type="dcterms:W3CDTF">2013-11-28T08:21:00Z</dcterms:created>
  <dcterms:modified xsi:type="dcterms:W3CDTF">2013-11-28T08:22:00Z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0x01010800E7DA7377B29A134181D844E45F3A9D03</vt:lpwstr>
  </property>
  <property fmtid="{D5CDD505-2E9C-101B-9397-08002B2CF9AE}" pid="3" name="Order">
    <vt:r8>1899600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display_urn">
    <vt:lpwstr>administrator</vt:lpwstr>
  </property>
  <property fmtid="{D5CDD505-2E9C-101B-9397-08002B2CF9AE}" pid="7" name="TemplateUrl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</Properties>
</file>