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Override2.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B9" w:rsidRDefault="00A506B9" w:rsidP="00A506B9">
      <w:pPr>
        <w:spacing w:after="120"/>
        <w:jc w:val="both"/>
        <w:rPr>
          <w:b/>
        </w:rPr>
      </w:pPr>
      <w:r>
        <w:rPr>
          <w:b/>
        </w:rPr>
        <w:t>Monitoring lykožrúta severského</w:t>
      </w:r>
    </w:p>
    <w:p w:rsidR="00A506B9" w:rsidRDefault="00A506B9" w:rsidP="00A506B9">
      <w:pPr>
        <w:spacing w:after="120"/>
        <w:ind w:firstLine="567"/>
        <w:jc w:val="both"/>
      </w:pPr>
      <w:r>
        <w:t xml:space="preserve">Do celoslovenského monitoringu lykožrúta severského sa v roku 2012 v rámci Lesov SR zapojilo spolu 36 lesných správ (LS) zo 16-tich odštepných závodov (OZ), na ktorých sa inštalovalo spolu 89 feromónových lapačov (FL), navnadených odparníkom ID – Ecolure. Analyzovaných bolo spolu 364 vzoriek odchytov. </w:t>
      </w:r>
    </w:p>
    <w:p w:rsidR="00A506B9" w:rsidRDefault="00A506B9" w:rsidP="00A506B9">
      <w:pPr>
        <w:spacing w:after="120"/>
        <w:ind w:firstLine="567"/>
        <w:jc w:val="both"/>
      </w:pPr>
      <w:r>
        <w:t>Podľa dodaných vzoriek odchytov sa spolu zachytilo vo všetkých FL iba 2974 ks ID (rok 2011-16,3 tis. ks), čo v priemere na 1 inštalovaný lapač predstavuje 33 ks ID. V porovnaní s rokom 2011 to je až 6,4 násobný pokles odchytov na jeden inštalovaný lapač. Z celkového množstva použitých lapačov bolo aktívnych (zachytili aspoň 1 imágo ID) 51 lapačov, čo je 57% (rok 2011 – 53%). Skutočné odchyty sa pohybovali od nuly do 672 ks ID (OZ Čadca, LS Stará Bystrica, por. 3215A10). Z ostatných vysokých odchytov treba spomenúť odchyty na LS Beluša, OZ Považská Bystrica (195 ks ID, por. 724B01), LS Čadca, OZ Čadca (178ks ID), LS Povina, OZ Čadca (166 ks ID, por. 2122 11, ID-KM-1, LS Lednické Rovné, OZ P. Bystrica (154 ks ID, por. 154 10), LS Ľubochňa, OZ L. Hrádok (111 ks ID, por. 92B11).</w:t>
      </w:r>
    </w:p>
    <w:p w:rsidR="00A506B9" w:rsidRDefault="00A506B9" w:rsidP="00A506B9">
      <w:pPr>
        <w:jc w:val="center"/>
      </w:pPr>
      <w:r>
        <w:rPr>
          <w:noProof/>
        </w:rPr>
        <w:drawing>
          <wp:inline distT="0" distB="0" distL="0" distR="0">
            <wp:extent cx="2428875" cy="13811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p>
    <w:p w:rsidR="00A506B9" w:rsidRDefault="00A506B9" w:rsidP="00A506B9">
      <w:pPr>
        <w:pStyle w:val="Popis"/>
        <w:rPr>
          <w:b/>
        </w:rPr>
      </w:pPr>
      <w:r>
        <w:t xml:space="preserve">Obrázok </w:t>
      </w:r>
      <w:r>
        <w:fldChar w:fldCharType="begin"/>
      </w:r>
      <w:r>
        <w:instrText xml:space="preserve"> SEQ Obrázok \* ARABIC </w:instrText>
      </w:r>
      <w:r>
        <w:fldChar w:fldCharType="separate"/>
      </w:r>
      <w:r>
        <w:rPr>
          <w:noProof/>
        </w:rPr>
        <w:t>25</w:t>
      </w:r>
      <w:r>
        <w:rPr>
          <w:noProof/>
        </w:rPr>
        <w:fldChar w:fldCharType="end"/>
      </w:r>
      <w:r>
        <w:t>. Percento aktívnych lapačov, ktoré zachytili aspoň 1 imágo lykožrúta severského</w:t>
      </w:r>
    </w:p>
    <w:p w:rsidR="00A506B9" w:rsidRDefault="00A506B9" w:rsidP="00A506B9">
      <w:pPr>
        <w:ind w:firstLine="567"/>
        <w:jc w:val="both"/>
      </w:pPr>
    </w:p>
    <w:p w:rsidR="00A506B9" w:rsidRDefault="00A506B9" w:rsidP="00A506B9">
      <w:pPr>
        <w:spacing w:after="120"/>
        <w:ind w:firstLine="567"/>
        <w:jc w:val="both"/>
      </w:pPr>
      <w:r>
        <w:t xml:space="preserve">Viac ako 73% z celkového odchytu ID zaznamenali 2 OZ, Čadca (1641 ks, 55%) a Považská Bystrica (548 ks, 18%). Z ostatných závodov boli odchyty nízke, viac ako 100ks ID sa odchytilo na OZ L. Hrádok, OZ Námestovo, OZ Žilina a OZ Prievidza. Tu je potrebné upozorniť na OZ L. Hrádok, LS Ľubochňa, kde sa pravidelne posledné 4 roky odchytilo viac ako 100 ks ID na lapač, čo signalizuje stabilnú populáciu v tomto regióne Liptova. Výskyt bol opäť potvrdený aj v južných závodov s výskytom smreka (Trenčín, Prievidza, Žarnovica, Kriváň). V okrese Brezno (OZ Beňuš), okrese Dolný Kubín (OZ Námestovo), Bytča (OZ P. Bystrica) a Ilava (OZ Trenčín) nebol zaznamenaný v roku 2012 odchyt ID. Na východnom Slovensku bol zaznamenaný po prvý krát odchyt ID v okrese Levoča (OZ Prešov, LS Spišské Podhradie), kde sa odchytil 1 ks ID na lapač a v okrese Poprad (OZ Prešov, LS Hrabušice), kde sa odchytili 3 ks ID. V okrese Rožňava bol už potvrdený výskyt ID v roku 2008. </w:t>
      </w:r>
    </w:p>
    <w:p w:rsidR="00A506B9" w:rsidRDefault="00A506B9" w:rsidP="00A506B9">
      <w:pPr>
        <w:spacing w:after="120"/>
        <w:ind w:firstLine="567"/>
        <w:jc w:val="center"/>
      </w:pPr>
      <w:r>
        <w:rPr>
          <w:noProof/>
        </w:rPr>
        <w:lastRenderedPageBreak/>
        <w:drawing>
          <wp:inline distT="0" distB="0" distL="0" distR="0">
            <wp:extent cx="4457700" cy="2238375"/>
            <wp:effectExtent l="0" t="0" r="0" b="0"/>
            <wp:docPr id="99" name="Graf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506B9" w:rsidRDefault="00A506B9" w:rsidP="00A506B9">
      <w:pPr>
        <w:jc w:val="center"/>
      </w:pPr>
      <w:r>
        <w:t xml:space="preserve">Obrázok </w:t>
      </w:r>
      <w:r>
        <w:fldChar w:fldCharType="begin"/>
      </w:r>
      <w:r>
        <w:instrText xml:space="preserve"> SEQ Obrázok \* ARABIC </w:instrText>
      </w:r>
      <w:r>
        <w:fldChar w:fldCharType="separate"/>
      </w:r>
      <w:r>
        <w:rPr>
          <w:noProof/>
        </w:rPr>
        <w:t>26</w:t>
      </w:r>
      <w:r>
        <w:rPr>
          <w:noProof/>
        </w:rPr>
        <w:fldChar w:fldCharType="end"/>
      </w:r>
      <w:r>
        <w:t>. Odchyty lykožrúta severského na 1 inštalovaný lapač vo vybraných OZ Lesov SR, š. p.</w:t>
      </w:r>
    </w:p>
    <w:p w:rsidR="00A506B9" w:rsidRDefault="00A506B9" w:rsidP="00A506B9">
      <w:pPr>
        <w:jc w:val="center"/>
      </w:pPr>
      <w:r>
        <w:rPr>
          <w:noProof/>
        </w:rPr>
        <w:drawing>
          <wp:inline distT="0" distB="0" distL="0" distR="0">
            <wp:extent cx="5753100" cy="2924175"/>
            <wp:effectExtent l="0" t="0" r="0" b="0"/>
            <wp:docPr id="100" name="Graf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506B9" w:rsidRDefault="00A506B9" w:rsidP="00A506B9">
      <w:pPr>
        <w:pStyle w:val="Popis"/>
        <w:jc w:val="center"/>
        <w:rPr>
          <w:b/>
        </w:rPr>
      </w:pPr>
      <w:r>
        <w:t xml:space="preserve">Obrázok </w:t>
      </w:r>
      <w:r>
        <w:fldChar w:fldCharType="begin"/>
      </w:r>
      <w:r>
        <w:instrText xml:space="preserve"> SEQ Obrázok \* ARABIC </w:instrText>
      </w:r>
      <w:r>
        <w:fldChar w:fldCharType="separate"/>
      </w:r>
      <w:r>
        <w:rPr>
          <w:noProof/>
        </w:rPr>
        <w:t>27</w:t>
      </w:r>
      <w:r>
        <w:rPr>
          <w:noProof/>
        </w:rPr>
        <w:fldChar w:fldCharType="end"/>
      </w:r>
      <w:r>
        <w:t>. Sumárne odchyty lykožrúta severského podľa aktívne zúčastnených lesných správ zoskupených podľa odštepných závodov</w:t>
      </w:r>
    </w:p>
    <w:p w:rsidR="00A506B9" w:rsidRDefault="00A506B9" w:rsidP="00A506B9">
      <w:pPr>
        <w:ind w:firstLine="567"/>
        <w:jc w:val="both"/>
      </w:pPr>
    </w:p>
    <w:p w:rsidR="00A506B9" w:rsidRDefault="00A506B9" w:rsidP="00A506B9">
      <w:pPr>
        <w:spacing w:after="120"/>
        <w:ind w:firstLine="567"/>
        <w:jc w:val="both"/>
      </w:pPr>
      <w:r>
        <w:t>V roku 2012 boli monitorovacie lapače postavené aj na 2 ďalších lokalitách, mimo pôsobnosti Lesov SR (Tabuľka 3). Najvyšší odchyt ID sa zaevidoval v Urbariáte Kysucké Nové Mesto, kde sa odchytilo 1423 ks ID (por. 1269). Tento odchyt potvrdil stále veľmi vysoký výskyt ID v okrese Kysucké Nové Mesto.</w:t>
      </w:r>
    </w:p>
    <w:p w:rsidR="00A506B9" w:rsidRDefault="00A506B9" w:rsidP="00A506B9">
      <w:pPr>
        <w:spacing w:after="120"/>
        <w:ind w:firstLine="567"/>
        <w:jc w:val="both"/>
      </w:pPr>
      <w:r>
        <w:t xml:space="preserve"> Z aspektu správnych územných jednotiek sa najviac ID odchytilo v okresoch Kysucké N. Mesto (1664 ks ID) a Čadca (1400 ks ID). Jeho slabý výskyt bol objavený po prvý krát v okrese Levoča a Poprad (Prešovský kraj). Relatívne vysoké odchyty (nad 100 imág na lapač) boli zaznamenané ešte v okresoch Ružomberok, Považská Bystrica a Púchov. </w:t>
      </w:r>
    </w:p>
    <w:p w:rsidR="00A506B9" w:rsidRDefault="00A506B9" w:rsidP="00A506B9">
      <w:pPr>
        <w:jc w:val="center"/>
      </w:pPr>
      <w:r>
        <w:rPr>
          <w:noProof/>
        </w:rPr>
        <w:lastRenderedPageBreak/>
        <w:drawing>
          <wp:inline distT="0" distB="0" distL="0" distR="0">
            <wp:extent cx="3457575" cy="1743075"/>
            <wp:effectExtent l="0" t="0" r="9525" b="9525"/>
            <wp:docPr id="1" name="Obrázok 1" descr="Popis: C:\Dokumenty\Monitoring\2012\2012-statne+nestat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1" descr="Popis: C:\Dokumenty\Monitoring\2012\2012-statne+nestat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743075"/>
                    </a:xfrm>
                    <a:prstGeom prst="rect">
                      <a:avLst/>
                    </a:prstGeom>
                    <a:noFill/>
                    <a:ln>
                      <a:noFill/>
                    </a:ln>
                  </pic:spPr>
                </pic:pic>
              </a:graphicData>
            </a:graphic>
          </wp:inline>
        </w:drawing>
      </w:r>
    </w:p>
    <w:p w:rsidR="00A506B9" w:rsidRDefault="00A506B9" w:rsidP="00A506B9">
      <w:pPr>
        <w:pStyle w:val="Popis"/>
        <w:jc w:val="center"/>
        <w:rPr>
          <w:b/>
          <w:szCs w:val="24"/>
        </w:rPr>
      </w:pPr>
      <w:r>
        <w:t xml:space="preserve">Obrázok </w:t>
      </w:r>
      <w:r>
        <w:fldChar w:fldCharType="begin"/>
      </w:r>
      <w:r>
        <w:instrText xml:space="preserve"> SEQ Obrázok \* ARABIC </w:instrText>
      </w:r>
      <w:r>
        <w:fldChar w:fldCharType="separate"/>
      </w:r>
      <w:r>
        <w:rPr>
          <w:noProof/>
        </w:rPr>
        <w:t>28</w:t>
      </w:r>
      <w:r>
        <w:rPr>
          <w:noProof/>
        </w:rPr>
        <w:fldChar w:fldCharType="end"/>
      </w:r>
      <w:r>
        <w:t xml:space="preserve">. </w:t>
      </w:r>
      <w:r>
        <w:rPr>
          <w:szCs w:val="24"/>
        </w:rPr>
        <w:t xml:space="preserve">Maximálne odchyty lykožrúta severského na jeden lapač podľa okresov v roku 2012 </w:t>
      </w:r>
    </w:p>
    <w:p w:rsidR="00A506B9" w:rsidRDefault="00A506B9" w:rsidP="00A506B9">
      <w:pPr>
        <w:ind w:firstLine="567"/>
        <w:jc w:val="both"/>
        <w:rPr>
          <w:b/>
        </w:rPr>
      </w:pPr>
      <w:r>
        <w:t>Na základe výsledkov možno konštatovať, že lykožrút severský sa udomácnil a adaptoval v smrečinách centrálnych Karpát (Veľká Fatra, Nízke Tatry), čo potvrdzujú opakované odchyty v porastoch LS Ľubochňa (OZ Liptovský Hrádok) a LS Staré Hory (OZ Slovenská Ľupča). Odchytil sa do lapačov inštalovaných v nadmorských výškach 900 m n. m. (LS Staré Hory, por. 287) a v uzavretých dolinách (LS Ľubochňa, Ľubochnianska dolina, por. 92B11). Vysoké odchyty v týchto pohoriach boli zaznamenané aj v blízkosti železničných tratí, príp. skladov dreva (LS Staré Hory, por. 17A), čo potvrdzuje hypotézu o jeho rozširovaní zapríčineným dopravou dreva. V minulosti sa vyskytoval prevažne v porastoch okrajových, susediacich s urbanizovanou krajinou a v nadmorských výškach okolo 600m n. m. Dnes však už toto pravidlo neplatí, čo súvisí predovšetkým s vplyvom všade prítomnej klimatickej zmeny.</w:t>
      </w:r>
    </w:p>
    <w:p w:rsidR="00446EAB" w:rsidRDefault="00446EAB">
      <w:bookmarkStart w:id="0" w:name="_GoBack"/>
      <w:bookmarkEnd w:id="0"/>
    </w:p>
    <w:sectPr w:rsidR="00446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B9"/>
    <w:rsid w:val="00446EAB"/>
    <w:rsid w:val="00A506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06B9"/>
    <w:pPr>
      <w:spacing w:before="120"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semiHidden/>
    <w:unhideWhenUsed/>
    <w:qFormat/>
    <w:rsid w:val="00A506B9"/>
    <w:pPr>
      <w:jc w:val="both"/>
    </w:pPr>
    <w:rPr>
      <w:bCs/>
      <w:szCs w:val="20"/>
    </w:rPr>
  </w:style>
  <w:style w:type="paragraph" w:styleId="Textbubliny">
    <w:name w:val="Balloon Text"/>
    <w:basedOn w:val="Normlny"/>
    <w:link w:val="TextbublinyChar"/>
    <w:uiPriority w:val="99"/>
    <w:semiHidden/>
    <w:unhideWhenUsed/>
    <w:rsid w:val="00A506B9"/>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A506B9"/>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06B9"/>
    <w:pPr>
      <w:spacing w:before="120"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semiHidden/>
    <w:unhideWhenUsed/>
    <w:qFormat/>
    <w:rsid w:val="00A506B9"/>
    <w:pPr>
      <w:jc w:val="both"/>
    </w:pPr>
    <w:rPr>
      <w:bCs/>
      <w:szCs w:val="20"/>
    </w:rPr>
  </w:style>
  <w:style w:type="paragraph" w:styleId="Textbubliny">
    <w:name w:val="Balloon Text"/>
    <w:basedOn w:val="Normlny"/>
    <w:link w:val="TextbublinyChar"/>
    <w:uiPriority w:val="99"/>
    <w:semiHidden/>
    <w:unhideWhenUsed/>
    <w:rsid w:val="00A506B9"/>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A506B9"/>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Dokumenty\Monitoring\2012\Monitoring%20ID%202011-graf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kumenty\Monitoring\2012\Monitoring%20ID%202011-grafy.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30"/>
      <c:rotY val="69"/>
      <c:rAngAx val="0"/>
      <c:perspective val="30"/>
    </c:view3D>
    <c:floor>
      <c:thickness val="0"/>
    </c:floor>
    <c:sideWall>
      <c:thickness val="0"/>
    </c:sideWall>
    <c:backWall>
      <c:thickness val="0"/>
    </c:backWall>
    <c:plotArea>
      <c:layout>
        <c:manualLayout>
          <c:layoutTarget val="inner"/>
          <c:xMode val="edge"/>
          <c:yMode val="edge"/>
          <c:x val="1.5920217419631056E-2"/>
          <c:y val="5.6790768957718236E-2"/>
          <c:w val="0.94987067215239118"/>
          <c:h val="0.94320923104228171"/>
        </c:manualLayout>
      </c:layout>
      <c:pie3DChart>
        <c:varyColors val="1"/>
        <c:ser>
          <c:idx val="0"/>
          <c:order val="0"/>
          <c:spPr>
            <a:ln w="15875">
              <a:solidFill>
                <a:schemeClr val="tx1"/>
              </a:solidFill>
            </a:ln>
            <a:effectLst>
              <a:outerShdw blurRad="50800" dist="50800" dir="5400000" sx="1000" sy="1000" algn="ctr" rotWithShape="0">
                <a:srgbClr val="000000">
                  <a:alpha val="48000"/>
                </a:srgbClr>
              </a:outerShdw>
            </a:effectLst>
            <a:scene3d>
              <a:camera prst="orthographicFront"/>
              <a:lightRig rig="threePt" dir="t"/>
            </a:scene3d>
            <a:sp3d>
              <a:bevelB prst="relaxedInset"/>
              <a:contourClr>
                <a:srgbClr val="000000"/>
              </a:contourClr>
            </a:sp3d>
          </c:spPr>
          <c:explosion val="25"/>
          <c:dPt>
            <c:idx val="0"/>
            <c:bubble3D val="0"/>
            <c:explosion val="20"/>
            <c:spPr>
              <a:solidFill>
                <a:schemeClr val="tx2">
                  <a:lumMod val="60000"/>
                  <a:lumOff val="40000"/>
                </a:schemeClr>
              </a:solidFill>
              <a:ln w="15875">
                <a:solidFill>
                  <a:schemeClr val="tx1"/>
                </a:solidFill>
              </a:ln>
              <a:effectLst>
                <a:outerShdw blurRad="50800" dist="50800" dir="5400000" sx="1000" sy="1000" algn="ctr" rotWithShape="0">
                  <a:srgbClr val="000000">
                    <a:alpha val="48000"/>
                  </a:srgbClr>
                </a:outerShdw>
              </a:effectLst>
              <a:scene3d>
                <a:camera prst="orthographicFront"/>
                <a:lightRig rig="threePt" dir="t"/>
              </a:scene3d>
              <a:sp3d>
                <a:bevelB prst="relaxedInset"/>
                <a:contourClr>
                  <a:srgbClr val="000000"/>
                </a:contourClr>
              </a:sp3d>
            </c:spPr>
          </c:dPt>
          <c:dPt>
            <c:idx val="4"/>
            <c:bubble3D val="0"/>
            <c:spPr>
              <a:solidFill>
                <a:srgbClr val="FFFF00"/>
              </a:solidFill>
              <a:ln w="15875">
                <a:solidFill>
                  <a:schemeClr val="tx1"/>
                </a:solidFill>
              </a:ln>
              <a:effectLst>
                <a:outerShdw blurRad="50800" dist="50800" dir="5400000" sx="1000" sy="1000" algn="ctr" rotWithShape="0">
                  <a:srgbClr val="000000">
                    <a:alpha val="48000"/>
                  </a:srgbClr>
                </a:outerShdw>
              </a:effectLst>
              <a:scene3d>
                <a:camera prst="orthographicFront"/>
                <a:lightRig rig="threePt" dir="t"/>
              </a:scene3d>
              <a:sp3d>
                <a:bevelB prst="relaxedInset"/>
                <a:contourClr>
                  <a:srgbClr val="000000"/>
                </a:contourClr>
              </a:sp3d>
            </c:spPr>
          </c:dPt>
          <c:dLbls>
            <c:dLbl>
              <c:idx val="0"/>
              <c:layout>
                <c:manualLayout>
                  <c:x val="-0.20728932758886121"/>
                  <c:y val="-0.31705635650980035"/>
                </c:manualLayout>
              </c:layout>
              <c:showLegendKey val="0"/>
              <c:showVal val="1"/>
              <c:showCatName val="1"/>
              <c:showSerName val="0"/>
              <c:showPercent val="0"/>
              <c:showBubbleSize val="0"/>
            </c:dLbl>
            <c:dLbl>
              <c:idx val="1"/>
              <c:layout>
                <c:manualLayout>
                  <c:x val="6.3038684522465699E-3"/>
                  <c:y val="5.3555192868660235E-2"/>
                </c:manualLayout>
              </c:layout>
              <c:showLegendKey val="0"/>
              <c:showVal val="1"/>
              <c:showCatName val="1"/>
              <c:showSerName val="0"/>
              <c:showPercent val="0"/>
              <c:showBubbleSize val="0"/>
            </c:dLbl>
            <c:dLbl>
              <c:idx val="2"/>
              <c:layout>
                <c:manualLayout>
                  <c:x val="1.7100561625531813E-4"/>
                  <c:y val="-0.1370876043736286"/>
                </c:manualLayout>
              </c:layout>
              <c:showLegendKey val="0"/>
              <c:showVal val="1"/>
              <c:showCatName val="1"/>
              <c:showSerName val="0"/>
              <c:showPercent val="0"/>
              <c:showBubbleSize val="0"/>
            </c:dLbl>
            <c:dLbl>
              <c:idx val="3"/>
              <c:layout>
                <c:manualLayout>
                  <c:x val="-2.8922023044991717E-2"/>
                  <c:y val="-7.3951860668579214E-2"/>
                </c:manualLayout>
              </c:layout>
              <c:showLegendKey val="0"/>
              <c:showVal val="1"/>
              <c:showCatName val="1"/>
              <c:showSerName val="0"/>
              <c:showPercent val="0"/>
              <c:showBubbleSize val="0"/>
            </c:dLbl>
            <c:dLbl>
              <c:idx val="4"/>
              <c:layout>
                <c:manualLayout>
                  <c:x val="5.322314168286587E-2"/>
                  <c:y val="5.2492300846247912E-3"/>
                </c:manualLayout>
              </c:layout>
              <c:showLegendKey val="0"/>
              <c:showVal val="1"/>
              <c:showCatName val="1"/>
              <c:showSerName val="0"/>
              <c:showPercent val="0"/>
              <c:showBubbleSize val="0"/>
            </c:dLbl>
            <c:txPr>
              <a:bodyPr/>
              <a:lstStyle/>
              <a:p>
                <a:pPr>
                  <a:defRPr sz="900"/>
                </a:pPr>
                <a:endParaRPr lang="sk-SK"/>
              </a:p>
            </c:txPr>
            <c:showLegendKey val="0"/>
            <c:showVal val="1"/>
            <c:showCatName val="1"/>
            <c:showSerName val="0"/>
            <c:showPercent val="0"/>
            <c:showBubbleSize val="0"/>
            <c:showLeaderLines val="1"/>
          </c:dLbls>
          <c:cat>
            <c:strRef>
              <c:f>Grafy!$A$2:$A$9</c:f>
              <c:strCache>
                <c:ptCount val="8"/>
                <c:pt idx="0">
                  <c:v>Čadca</c:v>
                </c:pt>
                <c:pt idx="1">
                  <c:v>Lipt. Hrádok</c:v>
                </c:pt>
                <c:pt idx="2">
                  <c:v>Námestovo</c:v>
                </c:pt>
                <c:pt idx="3">
                  <c:v>Pov. Bystrica</c:v>
                </c:pt>
                <c:pt idx="4">
                  <c:v>Prievidza</c:v>
                </c:pt>
                <c:pt idx="5">
                  <c:v>Slov. Lupča</c:v>
                </c:pt>
                <c:pt idx="6">
                  <c:v>Trenčín</c:v>
                </c:pt>
                <c:pt idx="7">
                  <c:v>Žilina</c:v>
                </c:pt>
              </c:strCache>
            </c:strRef>
          </c:cat>
          <c:val>
            <c:numRef>
              <c:f>Grafy!$D$2:$D$9</c:f>
              <c:numCache>
                <c:formatCode>0</c:formatCode>
                <c:ptCount val="8"/>
                <c:pt idx="0">
                  <c:v>205.125</c:v>
                </c:pt>
                <c:pt idx="1">
                  <c:v>18.222222222222221</c:v>
                </c:pt>
                <c:pt idx="2">
                  <c:v>13.909090909090908</c:v>
                </c:pt>
                <c:pt idx="3">
                  <c:v>91.333333333333329</c:v>
                </c:pt>
                <c:pt idx="4">
                  <c:v>34.75</c:v>
                </c:pt>
                <c:pt idx="5">
                  <c:v>30.666666666666668</c:v>
                </c:pt>
                <c:pt idx="6">
                  <c:v>29</c:v>
                </c:pt>
                <c:pt idx="7">
                  <c:v>13.555555555555555</c:v>
                </c:pt>
              </c:numCache>
            </c:numRef>
          </c:val>
        </c:ser>
        <c:dLbls>
          <c:showLegendKey val="0"/>
          <c:showVal val="0"/>
          <c:showCatName val="0"/>
          <c:showSerName val="0"/>
          <c:showPercent val="1"/>
          <c:showBubbleSize val="0"/>
          <c:showLeaderLines val="1"/>
        </c:dLbls>
      </c:pie3DChart>
    </c:plotArea>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4.8260808969257565E-2"/>
          <c:y val="3.5030981951998268E-2"/>
          <c:w val="0.95173982747966646"/>
          <c:h val="0.72152312146548692"/>
        </c:manualLayout>
      </c:layout>
      <c:bar3DChart>
        <c:barDir val="col"/>
        <c:grouping val="clustered"/>
        <c:varyColors val="0"/>
        <c:ser>
          <c:idx val="0"/>
          <c:order val="0"/>
          <c:invertIfNegative val="0"/>
          <c:dLbls>
            <c:dLbl>
              <c:idx val="0"/>
              <c:layout>
                <c:manualLayout>
                  <c:x val="1.7094014793187348E-3"/>
                  <c:y val="0"/>
                </c:manualLayout>
              </c:layout>
              <c:showLegendKey val="0"/>
              <c:showVal val="1"/>
              <c:showCatName val="0"/>
              <c:showSerName val="0"/>
              <c:showPercent val="0"/>
              <c:showBubbleSize val="0"/>
            </c:dLbl>
            <c:txPr>
              <a:bodyPr rot="-5400000" vert="horz"/>
              <a:lstStyle/>
              <a:p>
                <a:pPr>
                  <a:defRPr sz="800"/>
                </a:pPr>
                <a:endParaRPr lang="sk-SK"/>
              </a:p>
            </c:txPr>
            <c:showLegendKey val="0"/>
            <c:showVal val="1"/>
            <c:showCatName val="0"/>
            <c:showSerName val="0"/>
            <c:showPercent val="0"/>
            <c:showBubbleSize val="0"/>
            <c:showLeaderLines val="0"/>
          </c:dLbls>
          <c:cat>
            <c:multiLvlStrRef>
              <c:f>Grafy!$A$21:$B$44</c:f>
              <c:multiLvlStrCache>
                <c:ptCount val="24"/>
                <c:lvl>
                  <c:pt idx="0">
                    <c:v>Čadca</c:v>
                  </c:pt>
                  <c:pt idx="1">
                    <c:v>Povina</c:v>
                  </c:pt>
                  <c:pt idx="2">
                    <c:v>Stará Bystrica</c:v>
                  </c:pt>
                  <c:pt idx="3">
                    <c:v>Poľana</c:v>
                  </c:pt>
                  <c:pt idx="4">
                    <c:v>L. Osada</c:v>
                  </c:pt>
                  <c:pt idx="5">
                    <c:v>Ľubochňa</c:v>
                  </c:pt>
                  <c:pt idx="6">
                    <c:v>Mútne</c:v>
                  </c:pt>
                  <c:pt idx="7">
                    <c:v>O. Podzámok</c:v>
                  </c:pt>
                  <c:pt idx="8">
                    <c:v>O. Polhora</c:v>
                  </c:pt>
                  <c:pt idx="9">
                    <c:v>Zákamenné</c:v>
                  </c:pt>
                  <c:pt idx="10">
                    <c:v>Beluša</c:v>
                  </c:pt>
                  <c:pt idx="11">
                    <c:v>Lednické rovne</c:v>
                  </c:pt>
                  <c:pt idx="12">
                    <c:v>Hrabušice</c:v>
                  </c:pt>
                  <c:pt idx="13">
                    <c:v>Sp. Podhradie</c:v>
                  </c:pt>
                  <c:pt idx="14">
                    <c:v>Duchonka</c:v>
                  </c:pt>
                  <c:pt idx="15">
                    <c:v>Nitr. Rudno</c:v>
                  </c:pt>
                  <c:pt idx="16">
                    <c:v>K. Podhradie</c:v>
                  </c:pt>
                  <c:pt idx="17">
                    <c:v>Staré Hory</c:v>
                  </c:pt>
                  <c:pt idx="18">
                    <c:v>Nemšová</c:v>
                  </c:pt>
                  <c:pt idx="19">
                    <c:v>Ihráč</c:v>
                  </c:pt>
                  <c:pt idx="20">
                    <c:v>Martin</c:v>
                  </c:pt>
                  <c:pt idx="21">
                    <c:v>Raj. Teplice</c:v>
                  </c:pt>
                  <c:pt idx="22">
                    <c:v>T. Teplice</c:v>
                  </c:pt>
                  <c:pt idx="23">
                    <c:v>Žilina</c:v>
                  </c:pt>
                </c:lvl>
                <c:lvl>
                  <c:pt idx="0">
                    <c:v>Čadca</c:v>
                  </c:pt>
                  <c:pt idx="3">
                    <c:v>Kriváň</c:v>
                  </c:pt>
                  <c:pt idx="4">
                    <c:v>L. Hrádok</c:v>
                  </c:pt>
                  <c:pt idx="6">
                    <c:v>Námestovo</c:v>
                  </c:pt>
                  <c:pt idx="10">
                    <c:v>P. Bystrica</c:v>
                  </c:pt>
                  <c:pt idx="12">
                    <c:v>Prešov</c:v>
                  </c:pt>
                  <c:pt idx="14">
                    <c:v>Prievidza</c:v>
                  </c:pt>
                  <c:pt idx="16">
                    <c:v>RV</c:v>
                  </c:pt>
                  <c:pt idx="17">
                    <c:v>S. Lupča</c:v>
                  </c:pt>
                  <c:pt idx="18">
                    <c:v>TN</c:v>
                  </c:pt>
                  <c:pt idx="19">
                    <c:v>Žarn.</c:v>
                  </c:pt>
                  <c:pt idx="20">
                    <c:v>Žilina</c:v>
                  </c:pt>
                </c:lvl>
              </c:multiLvlStrCache>
            </c:multiLvlStrRef>
          </c:cat>
          <c:val>
            <c:numRef>
              <c:f>Grafy!$C$21:$C$44</c:f>
              <c:numCache>
                <c:formatCode>General</c:formatCode>
                <c:ptCount val="24"/>
                <c:pt idx="0">
                  <c:v>291</c:v>
                </c:pt>
                <c:pt idx="1">
                  <c:v>241</c:v>
                </c:pt>
                <c:pt idx="2">
                  <c:v>1109</c:v>
                </c:pt>
                <c:pt idx="3">
                  <c:v>9</c:v>
                </c:pt>
                <c:pt idx="4">
                  <c:v>26</c:v>
                </c:pt>
                <c:pt idx="5">
                  <c:v>138</c:v>
                </c:pt>
                <c:pt idx="6">
                  <c:v>75</c:v>
                </c:pt>
                <c:pt idx="7">
                  <c:v>7</c:v>
                </c:pt>
                <c:pt idx="8">
                  <c:v>62</c:v>
                </c:pt>
                <c:pt idx="9">
                  <c:v>9</c:v>
                </c:pt>
                <c:pt idx="10">
                  <c:v>257</c:v>
                </c:pt>
                <c:pt idx="11">
                  <c:v>291</c:v>
                </c:pt>
                <c:pt idx="12">
                  <c:v>3</c:v>
                </c:pt>
                <c:pt idx="13">
                  <c:v>1</c:v>
                </c:pt>
                <c:pt idx="14">
                  <c:v>57</c:v>
                </c:pt>
                <c:pt idx="15">
                  <c:v>82</c:v>
                </c:pt>
                <c:pt idx="16">
                  <c:v>30</c:v>
                </c:pt>
                <c:pt idx="17">
                  <c:v>92</c:v>
                </c:pt>
                <c:pt idx="18">
                  <c:v>58</c:v>
                </c:pt>
                <c:pt idx="19">
                  <c:v>14</c:v>
                </c:pt>
                <c:pt idx="20">
                  <c:v>1</c:v>
                </c:pt>
                <c:pt idx="21">
                  <c:v>34</c:v>
                </c:pt>
                <c:pt idx="22">
                  <c:v>42</c:v>
                </c:pt>
                <c:pt idx="23">
                  <c:v>45</c:v>
                </c:pt>
              </c:numCache>
            </c:numRef>
          </c:val>
        </c:ser>
        <c:dLbls>
          <c:showLegendKey val="0"/>
          <c:showVal val="0"/>
          <c:showCatName val="0"/>
          <c:showSerName val="0"/>
          <c:showPercent val="0"/>
          <c:showBubbleSize val="0"/>
        </c:dLbls>
        <c:gapWidth val="150"/>
        <c:shape val="cylinder"/>
        <c:axId val="235701376"/>
        <c:axId val="235702912"/>
        <c:axId val="0"/>
      </c:bar3DChart>
      <c:catAx>
        <c:axId val="235701376"/>
        <c:scaling>
          <c:orientation val="minMax"/>
        </c:scaling>
        <c:delete val="0"/>
        <c:axPos val="b"/>
        <c:numFmt formatCode="General" sourceLinked="1"/>
        <c:majorTickMark val="out"/>
        <c:minorTickMark val="none"/>
        <c:tickLblPos val="nextTo"/>
        <c:txPr>
          <a:bodyPr/>
          <a:lstStyle/>
          <a:p>
            <a:pPr>
              <a:defRPr sz="800"/>
            </a:pPr>
            <a:endParaRPr lang="sk-SK"/>
          </a:p>
        </c:txPr>
        <c:crossAx val="235702912"/>
        <c:crosses val="autoZero"/>
        <c:auto val="1"/>
        <c:lblAlgn val="ctr"/>
        <c:lblOffset val="100"/>
        <c:noMultiLvlLbl val="0"/>
      </c:catAx>
      <c:valAx>
        <c:axId val="235702912"/>
        <c:scaling>
          <c:orientation val="minMax"/>
        </c:scaling>
        <c:delete val="0"/>
        <c:axPos val="l"/>
        <c:majorGridlines/>
        <c:title>
          <c:tx>
            <c:rich>
              <a:bodyPr rot="-5400000" vert="horz"/>
              <a:lstStyle/>
              <a:p>
                <a:pPr>
                  <a:defRPr/>
                </a:pPr>
                <a:r>
                  <a:rPr lang="en-US"/>
                  <a:t>Odchyt ID (</a:t>
                </a:r>
                <a:r>
                  <a:rPr lang="sk-SK"/>
                  <a:t>ks</a:t>
                </a:r>
                <a:r>
                  <a:rPr lang="en-US"/>
                  <a:t>)</a:t>
                </a:r>
              </a:p>
            </c:rich>
          </c:tx>
          <c:layout>
            <c:manualLayout>
              <c:xMode val="edge"/>
              <c:yMode val="edge"/>
              <c:x val="5.6158598970628337E-3"/>
              <c:y val="0.28356359175729667"/>
            </c:manualLayout>
          </c:layout>
          <c:overlay val="0"/>
        </c:title>
        <c:numFmt formatCode="General" sourceLinked="1"/>
        <c:majorTickMark val="out"/>
        <c:minorTickMark val="none"/>
        <c:tickLblPos val="nextTo"/>
        <c:crossAx val="235701376"/>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iki Page" ma:contentTypeID="0x01010800E7DA7377B29A134181D844E45F3A9D03" ma:contentTypeVersion="0" ma:contentTypeDescription="Create a new wiki page." ma:contentTypeScope="" ma:versionID="2bf5868b8052e98adc77a7d56271a4fa">
  <xsd:schema xmlns:xsd="http://www.w3.org/2001/XMLSchema" xmlns:xs="http://www.w3.org/2001/XMLSchema" xmlns:p="http://schemas.microsoft.com/office/2006/metadata/properties" xmlns:ns1="http://schemas.microsoft.com/sharepoint/v3" targetNamespace="http://schemas.microsoft.com/office/2006/metadata/properties" ma:root="true" ma:fieldsID="1e79e4192275310a927bd3bd96982ee3" ns1:_="">
    <xsd:import namespace="http://schemas.microsoft.com/sharepoint/v3"/>
    <xsd:element name="properties">
      <xsd:complexType>
        <xsd:sequence>
          <xsd:element name="documentManagement">
            <xsd:complexType>
              <xsd:all>
                <xsd:element ref="ns1:Wiki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Obsah Wiki" ma:internalName="Wiki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Props1.xml><?xml version="1.0" encoding="utf-8"?>
<ds:datastoreItem xmlns:ds="http://schemas.openxmlformats.org/officeDocument/2006/customXml" ds:itemID="{56D14973-EFA4-4F91-BD5A-6521FC95089D}"/>
</file>

<file path=customXml/itemProps2.xml><?xml version="1.0" encoding="utf-8"?>
<ds:datastoreItem xmlns:ds="http://schemas.openxmlformats.org/officeDocument/2006/customXml" ds:itemID="{AECF0B59-56C6-436F-A999-0C272124683F}"/>
</file>

<file path=customXml/itemProps3.xml><?xml version="1.0" encoding="utf-8"?>
<ds:datastoreItem xmlns:ds="http://schemas.openxmlformats.org/officeDocument/2006/customXml" ds:itemID="{5F416E1C-9786-4AE9-A7EB-57B140D4B9E8}"/>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Vakula</dc:creator>
  <cp:lastModifiedBy>Vakula</cp:lastModifiedBy>
  <cp:revision>1</cp:revision>
  <dcterms:created xsi:type="dcterms:W3CDTF">2013-11-28T08:20:00Z</dcterms:created>
  <dcterms:modified xsi:type="dcterms:W3CDTF">2013-11-28T08:20:00Z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0x01010800E7DA7377B29A134181D844E45F3A9D03</vt:lpwstr>
  </property>
  <property fmtid="{D5CDD505-2E9C-101B-9397-08002B2CF9AE}" pid="3" name="Order">
    <vt:r8>1899900</vt:r8>
  </property>
  <property fmtid="{D5CDD505-2E9C-101B-9397-08002B2CF9AE}" pid="4" name="_SourceUrl">
    <vt:lpwstr/>
  </property>
  <property fmtid="{D5CDD505-2E9C-101B-9397-08002B2CF9AE}" pid="5" name="_SharedFileIndex">
    <vt:lpwstr/>
  </property>
  <property fmtid="{D5CDD505-2E9C-101B-9397-08002B2CF9AE}" pid="6" name="display_urn">
    <vt:lpwstr>administrator</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ies>
</file>